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Texto"/>
        <w:spacing w:before="240" w:after="12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Processo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eastAsia="Verdana" w:cs="Verdana" w:ascii="Cambria" w:hAnsi="Cambria"/>
          <w:sz w:val="24"/>
          <w:szCs w:val="24"/>
          <w:highlight w:val="yellow"/>
        </w:rPr>
        <w:t>_______</w:t>
      </w:r>
    </w:p>
    <w:p>
      <w:pPr>
        <w:pStyle w:val="CorpodeTexto"/>
        <w:spacing w:before="240" w:after="12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Candidato</w:t>
      </w:r>
      <w:r>
        <w:rPr>
          <w:rFonts w:cs="Verdana" w:ascii="Cambria" w:hAnsi="Cambria"/>
          <w:sz w:val="24"/>
          <w:szCs w:val="24"/>
        </w:rPr>
        <w:t xml:space="preserve">: </w:t>
      </w:r>
      <w:r>
        <w:rPr>
          <w:rFonts w:cs="Verdana" w:ascii="Cambria" w:hAnsi="Cambria"/>
          <w:sz w:val="24"/>
          <w:szCs w:val="24"/>
          <w:highlight w:val="yellow"/>
        </w:rPr>
        <w:t>________</w:t>
      </w:r>
    </w:p>
    <w:p>
      <w:pPr>
        <w:pStyle w:val="CorpodeTexto"/>
        <w:spacing w:before="240" w:after="12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 xml:space="preserve">Partido/Coligação: </w:t>
      </w:r>
      <w:r>
        <w:rPr>
          <w:rFonts w:cs="Verdana" w:ascii="Cambria" w:hAnsi="Cambria"/>
          <w:sz w:val="24"/>
          <w:szCs w:val="24"/>
          <w:highlight w:val="yellow"/>
        </w:rPr>
        <w:t>________</w:t>
      </w:r>
    </w:p>
    <w:p>
      <w:pPr>
        <w:pStyle w:val="CorpodeTexto"/>
        <w:spacing w:before="240" w:after="12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Cargo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postulado</w:t>
      </w:r>
      <w:r>
        <w:rPr>
          <w:rFonts w:cs="Verdana" w:ascii="Cambria" w:hAnsi="Cambria"/>
          <w:sz w:val="24"/>
          <w:szCs w:val="24"/>
        </w:rPr>
        <w:t>:</w:t>
      </w:r>
      <w:r>
        <w:rPr>
          <w:rFonts w:cs="Verdana" w:ascii="Cambria" w:hAnsi="Cambria"/>
          <w:sz w:val="24"/>
          <w:szCs w:val="24"/>
          <w:highlight w:val="yellow"/>
        </w:rPr>
        <w:t>_______</w:t>
      </w:r>
    </w:p>
    <w:p>
      <w:pPr>
        <w:pStyle w:val="CorpodeTexto"/>
        <w:spacing w:before="240" w:after="120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CorpodeTexto"/>
        <w:spacing w:before="240" w:after="120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eastAsia="Verdana" w:cs="Verdana" w:ascii="Cambria" w:hAnsi="Cambria"/>
          <w:sz w:val="24"/>
          <w:szCs w:val="24"/>
        </w:rPr>
        <w:t xml:space="preserve">O </w:t>
      </w:r>
      <w:r>
        <w:rPr>
          <w:rFonts w:cs="Verdana" w:ascii="Cambria" w:hAnsi="Cambria"/>
          <w:b/>
          <w:shadow/>
          <w:sz w:val="24"/>
          <w:szCs w:val="24"/>
        </w:rPr>
        <w:t>MINISTÉRIO PÚBLICO</w:t>
      </w:r>
      <w:r>
        <w:rPr>
          <w:rFonts w:eastAsia="Verdana" w:cs="Verdana" w:ascii="Cambria" w:hAnsi="Cambria"/>
          <w:b/>
          <w:shadow/>
          <w:sz w:val="24"/>
          <w:szCs w:val="24"/>
        </w:rPr>
        <w:t xml:space="preserve"> </w:t>
      </w:r>
      <w:r>
        <w:rPr>
          <w:rFonts w:cs="Verdana" w:ascii="Cambria" w:hAnsi="Cambria"/>
          <w:b/>
          <w:shadow/>
          <w:sz w:val="24"/>
          <w:szCs w:val="24"/>
        </w:rPr>
        <w:t>ELEITORAL</w:t>
      </w:r>
      <w:r>
        <w:rPr>
          <w:rFonts w:cs="Verdana" w:ascii="Cambria" w:hAnsi="Cambria"/>
          <w:b/>
          <w:sz w:val="24"/>
          <w:szCs w:val="24"/>
        </w:rPr>
        <w:t>,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órgão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infra-assinado,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autos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requerimento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epígrafe,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presença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Vossa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Excelência,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fundamento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3º,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caput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64/90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77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75/93,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propor,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quinquídio </w:t>
      </w:r>
      <w:r>
        <w:rPr>
          <w:rFonts w:cs="Verdana" w:ascii="Cambria" w:hAnsi="Cambria"/>
          <w:sz w:val="24"/>
          <w:szCs w:val="24"/>
        </w:rPr>
        <w:t>legal,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AÇÃO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IMPUGNAÇÃO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PEDIDO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REGISTRO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CANDIDATURA - AIRC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em face dos requerentes já qualificados nos autos, </w:t>
      </w:r>
      <w:r>
        <w:rPr>
          <w:rFonts w:cs="Verdana" w:ascii="Cambria" w:hAnsi="Cambria"/>
          <w:sz w:val="24"/>
          <w:szCs w:val="24"/>
        </w:rPr>
        <w:t>aduzindo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tanto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razões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abaixo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expostas: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Trata-se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requerimento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formulado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pelo Partido/Coligação e o candidato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impugnado,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escopo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concorrer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cargo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eletivo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próximas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eleições.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Contudo, resta impossível o deferimento do registro de candidatura do impugnado, tendo em vista que ele não cumpre todos os requisitos constitucionais e legais para ser candidato.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Como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é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cediço,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uma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pessoa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venha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Justiça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passando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obter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direito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votado,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deve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atender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condições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elegibilidade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14,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3º,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Constituição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Federal,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in</w:t>
      </w:r>
      <w:r>
        <w:rPr>
          <w:rFonts w:eastAsia="Verdana" w:cs="Verdana" w:ascii="Cambria" w:hAnsi="Cambria"/>
          <w:i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verbis: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§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3º.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condições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elegibilidade,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forma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lei: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nacionalidade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brasileira;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II-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pleno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exercício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direitos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políticos;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III-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alistamento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eleitoral;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IV-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domicílio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circunscrição;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V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filiação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partidária;</w:t>
      </w:r>
    </w:p>
    <w:p>
      <w:pPr>
        <w:pStyle w:val="Citao"/>
        <w:widowControl/>
        <w:suppressAutoHyphens w:val="true"/>
        <w:bidi w:val="0"/>
        <w:spacing w:before="24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VI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mínima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constitucionalmente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exigida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ocupar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referidos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cargos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públicos.</w:t>
      </w:r>
    </w:p>
    <w:p>
      <w:pPr>
        <w:pStyle w:val="CorpodeTexto"/>
        <w:spacing w:before="240" w:after="0"/>
        <w:ind w:left="0" w:right="0" w:firstLine="1701"/>
        <w:rPr>
          <w:rFonts w:cs="Verdana"/>
        </w:rPr>
      </w:pPr>
      <w:r>
        <w:rPr>
          <w:rFonts w:ascii="Cambria" w:hAnsi="Cambria"/>
          <w:sz w:val="24"/>
          <w:szCs w:val="24"/>
        </w:rPr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concreto,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verifica-se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impugnado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demonstrou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atender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todas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condições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elegibilidade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constitucionalmente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exigidas,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haja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vista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não preencher____________. </w:t>
      </w:r>
      <w:r>
        <w:rPr>
          <w:rFonts w:cs="Verdana" w:ascii="Cambria" w:hAnsi="Cambria"/>
          <w:sz w:val="24"/>
          <w:szCs w:val="24"/>
          <w:highlight w:val="yellow"/>
        </w:rPr>
        <w:t>(citar a condições de elegibilidade não preenchida)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efeito,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impugnado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____________. </w:t>
      </w:r>
      <w:r>
        <w:rPr>
          <w:rFonts w:cs="Verdana" w:ascii="Cambria" w:hAnsi="Cambria"/>
          <w:sz w:val="24"/>
          <w:szCs w:val="24"/>
          <w:highlight w:val="yellow"/>
        </w:rPr>
        <w:t>(explicar a condição de elegibilidade não preenchida com todos os seus detalhes e requisitos, indicando as provas inclusive)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 xml:space="preserve">Sobre esta condição de elegibilidade leciona </w:t>
      </w:r>
      <w:r>
        <w:rPr>
          <w:rFonts w:cs="Verdana" w:ascii="Cambria" w:hAnsi="Cambria"/>
          <w:sz w:val="24"/>
          <w:szCs w:val="24"/>
          <w:highlight w:val="yellow"/>
        </w:rPr>
        <w:t>XXXX</w:t>
      </w:r>
      <w:r>
        <w:rPr>
          <w:rFonts w:cs="Verdana" w:ascii="Cambria" w:hAnsi="Cambria"/>
          <w:sz w:val="24"/>
          <w:szCs w:val="24"/>
        </w:rPr>
        <w:t>:</w:t>
      </w:r>
    </w:p>
    <w:p>
      <w:pPr>
        <w:pStyle w:val="CorpodeTexto"/>
        <w:spacing w:before="240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  <w:highlight w:val="yellow"/>
        </w:rPr>
        <w:t>(citar alguma doutrina)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Sobre o tema, também a jurisprudência dos Tribunais Eleitorais, como se observa:</w:t>
      </w:r>
    </w:p>
    <w:p>
      <w:pPr>
        <w:pStyle w:val="CorpodeTexto"/>
        <w:spacing w:before="240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  <w:highlight w:val="yellow"/>
        </w:rPr>
        <w:t>(citar 1 ou mais jurisprudências do TSE ou de TREs)</w:t>
      </w:r>
    </w:p>
    <w:p>
      <w:pPr>
        <w:pStyle w:val="CorpodeTexto"/>
        <w:spacing w:before="240" w:after="12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Dessa forma, verificando-se que o candidato não preenche uma das condições de elegibilidade, o indeferimento do pedido de registro de candidatura é medida que se impõe.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Diante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exposto,</w:t>
      </w:r>
      <w:r>
        <w:rPr>
          <w:rFonts w:eastAsia="Verdana" w:cs="Verdana" w:ascii="Cambria" w:hAnsi="Cambria"/>
          <w:sz w:val="24"/>
          <w:szCs w:val="24"/>
        </w:rPr>
        <w:t xml:space="preserve"> o </w:t>
      </w:r>
      <w:r>
        <w:rPr>
          <w:rFonts w:eastAsia="Verdana" w:cs="Verdana" w:ascii="Cambria" w:hAnsi="Cambria"/>
          <w:b/>
          <w:bCs/>
          <w:sz w:val="24"/>
          <w:szCs w:val="24"/>
        </w:rPr>
        <w:t>MINISTÉRIO PÚBLICO 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requer</w:t>
      </w:r>
      <w:r>
        <w:rPr>
          <w:rFonts w:cs="Verdana" w:ascii="Cambria" w:hAnsi="Cambria"/>
          <w:sz w:val="24"/>
          <w:szCs w:val="24"/>
        </w:rPr>
        <w:t>: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a)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recebimento e o processamento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impugnação, nos termos do art. 3º e seguintes da LC 64/90 e da Resolução TSE n. 23.609/2019, </w:t>
      </w:r>
      <w:r>
        <w:rPr>
          <w:rFonts w:cs="Verdana" w:ascii="Cambria" w:hAnsi="Cambria"/>
          <w:sz w:val="24"/>
          <w:szCs w:val="24"/>
          <w:u w:val="single"/>
        </w:rPr>
        <w:t>especialmente, do art. 40 e seguintes</w:t>
      </w:r>
      <w:r>
        <w:rPr>
          <w:rFonts w:cs="Verdana" w:ascii="Cambria" w:hAnsi="Cambria"/>
          <w:sz w:val="24"/>
          <w:szCs w:val="24"/>
        </w:rPr>
        <w:t>;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b)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  <w:u w:val="single"/>
        </w:rPr>
        <w:t>notificação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do </w:t>
      </w:r>
      <w:r>
        <w:rPr>
          <w:rFonts w:cs="Verdana" w:ascii="Cambria" w:hAnsi="Cambria"/>
          <w:b/>
          <w:sz w:val="24"/>
          <w:szCs w:val="24"/>
        </w:rPr>
        <w:t>candidato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impugnado</w:t>
      </w:r>
      <w:r>
        <w:rPr>
          <w:rFonts w:cs="Verdana" w:ascii="Cambria" w:hAnsi="Cambria"/>
          <w:sz w:val="24"/>
          <w:szCs w:val="24"/>
        </w:rPr>
        <w:t xml:space="preserve"> e do </w:t>
      </w:r>
      <w:r>
        <w:rPr>
          <w:rFonts w:cs="Verdana" w:ascii="Cambria" w:hAnsi="Cambria"/>
          <w:b/>
          <w:sz w:val="24"/>
          <w:szCs w:val="24"/>
        </w:rPr>
        <w:t>partido ou coligação requerentes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endereços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constantes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pedido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exame,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querendo,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apresentarem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defesas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prazo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legal, nos termos do </w:t>
      </w:r>
      <w:r>
        <w:rPr>
          <w:rFonts w:cs="Verdana" w:ascii="Cambria" w:hAnsi="Cambria"/>
          <w:sz w:val="24"/>
          <w:szCs w:val="24"/>
          <w:u w:val="single"/>
        </w:rPr>
        <w:t>art. 41, da Resolução TSE n. 23.609/2019</w:t>
      </w:r>
      <w:r>
        <w:rPr>
          <w:rFonts w:cs="Verdana" w:ascii="Cambria" w:hAnsi="Cambria"/>
          <w:sz w:val="24"/>
          <w:szCs w:val="24"/>
        </w:rPr>
        <w:t>;</w:t>
      </w:r>
    </w:p>
    <w:p>
      <w:pPr>
        <w:pStyle w:val="CorpodeTexto"/>
        <w:spacing w:before="240" w:after="0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regular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tramitação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ação,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final,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julgada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procedente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consequentemente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indeferir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pedido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registro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candidatura</w:t>
      </w:r>
      <w:r>
        <w:rPr>
          <w:rFonts w:cs="Verdana" w:ascii="Cambria" w:hAnsi="Cambria"/>
          <w:sz w:val="24"/>
          <w:szCs w:val="24"/>
        </w:rPr>
        <w:t>, ora impugnado.</w:t>
      </w:r>
    </w:p>
    <w:p>
      <w:pPr>
        <w:pStyle w:val="CorpodeTexto"/>
        <w:spacing w:lineRule="auto" w:line="360" w:before="24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bCs/>
          <w:color w:val="000000"/>
          <w:sz w:val="24"/>
          <w:szCs w:val="24"/>
        </w:rPr>
        <w:t xml:space="preserve">Protesta provar o alegado por todos os meios de prova em direito admitidos, notadamente a prova documental, pugnando, desde já, pela juntada dos documentos que instruem a presente impugnação e outros durante a instrução, caso sejam necessários.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before="24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highlight w:val="yellow"/>
        </w:rPr>
        <w:t>Muita atenção</w:t>
      </w:r>
      <w:r>
        <w:rPr>
          <w:rFonts w:ascii="Cambria" w:hAnsi="Cambria"/>
          <w:sz w:val="24"/>
          <w:szCs w:val="24"/>
          <w:highlight w:val="yellow"/>
        </w:rPr>
        <w:t xml:space="preserve"> com o art. 40, § 4º, da Resolução TSE n. 23.609/2020, que determinada:</w:t>
      </w:r>
    </w:p>
    <w:p>
      <w:pPr>
        <w:pStyle w:val="Normal"/>
        <w:spacing w:before="24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highlight w:val="yellow"/>
        </w:rPr>
        <w:t>“</w:t>
      </w:r>
      <w:r>
        <w:rPr>
          <w:rFonts w:ascii="Cambria" w:hAnsi="Cambria"/>
          <w:b/>
          <w:sz w:val="24"/>
          <w:szCs w:val="24"/>
          <w:highlight w:val="yellow"/>
        </w:rPr>
        <w:t>§ 4º</w:t>
      </w:r>
      <w:r>
        <w:rPr>
          <w:rFonts w:ascii="Cambria" w:hAnsi="Cambria"/>
          <w:sz w:val="24"/>
          <w:szCs w:val="24"/>
          <w:highlight w:val="yellow"/>
        </w:rPr>
        <w:t xml:space="preserve"> O impugnante </w:t>
      </w:r>
      <w:r>
        <w:rPr>
          <w:rFonts w:ascii="Cambria" w:hAnsi="Cambria"/>
          <w:b/>
          <w:sz w:val="24"/>
          <w:szCs w:val="24"/>
          <w:highlight w:val="yellow"/>
          <w:u w:val="single"/>
        </w:rPr>
        <w:t>deve especificar, desde logo, os meios de prova com que pretende demonstrar a veracidade do alegado</w:t>
      </w:r>
      <w:r>
        <w:rPr>
          <w:rFonts w:ascii="Cambria" w:hAnsi="Cambria"/>
          <w:sz w:val="24"/>
          <w:szCs w:val="24"/>
          <w:highlight w:val="yellow"/>
        </w:rPr>
        <w:t>, arrolando testemunhas*, se for o caso, no máximo de 6 (seis) (Lei Complementar nº 64/1990, art. 3º, § 3º).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240" w:after="0"/>
        <w:ind w:left="0" w:right="0" w:firstLine="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Em regra, as provas documentais são suficientes para provar o alegado, mas, excepcionalmente, pode haver necessidade de arrolar testemunhas.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auto" w:line="360" w:before="0" w:after="120"/>
      <w:ind w:left="0" w:right="0" w:firstLine="2268"/>
      <w:jc w:val="both"/>
    </w:pPr>
    <w:rPr/>
  </w:style>
  <w:style w:type="paragraph" w:styleId="Citao">
    <w:name w:val="Citação"/>
    <w:basedOn w:val="Normal"/>
    <w:qFormat/>
    <w:pPr>
      <w:spacing w:before="0" w:after="120"/>
      <w:ind w:left="1701" w:right="0" w:hanging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567</Words>
  <Characters>3183</Characters>
  <CharactersWithSpaces>3716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2023-06-06T15:54:50Z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