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/>
      </w:pP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 xml:space="preserve">Trata-se de </w:t>
      </w:r>
      <w:r>
        <w:rPr>
          <w:rFonts w:eastAsia="Times New Roman" w:cs="Cambria" w:ascii="Cambria" w:hAnsi="Cambria"/>
          <w:b/>
          <w:bCs/>
          <w:color w:val="auto"/>
          <w:sz w:val="24"/>
          <w:szCs w:val="24"/>
          <w:lang w:val="pt-BR" w:eastAsia="pt-BR" w:bidi="ar-SA"/>
        </w:rPr>
        <w:t>Representação Eleitoral</w:t>
      </w: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 xml:space="preserve"> interposta pela </w:t>
      </w:r>
      <w:r>
        <w:rPr>
          <w:rFonts w:eastAsia="Times New Roman" w:cs="Cambria" w:ascii="Cambria" w:hAnsi="Cambria"/>
          <w:b/>
          <w:bCs w:val="false"/>
          <w:color w:val="000000"/>
          <w:sz w:val="24"/>
          <w:szCs w:val="24"/>
          <w:lang w:val="pt-BR" w:eastAsia="pt-BR" w:bidi="ar-SA"/>
        </w:rPr>
        <w:t>Coligação _______________</w:t>
      </w:r>
      <w:r>
        <w:rPr>
          <w:rFonts w:eastAsia="Times New Roman" w:cs="Cambria" w:ascii="Cambria" w:hAnsi="Cambria"/>
          <w:color w:val="000000"/>
          <w:sz w:val="24"/>
          <w:szCs w:val="24"/>
          <w:lang w:val="pt-BR" w:eastAsia="pt-BR" w:bidi="ar-SA"/>
        </w:rPr>
        <w:t xml:space="preserve"> em face de ___________</w:t>
      </w: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>_____</w:t>
      </w: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lang w:val="pt-BR" w:eastAsia="pt-BR" w:bidi="ar-SA"/>
        </w:rPr>
        <w:t>.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 xml:space="preserve">A referida representação fundamentou-se em divulgação no dia ___________, em programa de rádio da emissora ___________, onde o comentarista ________________  teria proferido informações inverídicas sobre o processo eleitoral. 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/>
      </w:pP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>Conforme consta na representação, às fls. ___ o comentarista diz: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>(descrever…)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/>
      </w:pP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shd w:fill="auto" w:val="clear"/>
          <w:lang w:val="pt-BR" w:eastAsia="pt-BR" w:bidi="ar-SA"/>
        </w:rPr>
        <w:t>O representante afirma ainda que houve tratamento privilegiado ao candidato _________, pois tais informações acarretam uma falsa ideia no eleitor de que os votos</w:t>
      </w:r>
      <w:r>
        <w:rPr>
          <w:rFonts w:eastAsia="Times New Roman" w:cs="Cambria" w:ascii="Cambria" w:hAnsi="Cambria"/>
          <w:b w:val="false"/>
          <w:bCs w:val="false"/>
          <w:color w:val="FF000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shd w:fill="auto" w:val="clear"/>
          <w:lang w:val="pt-BR" w:eastAsia="pt-BR" w:bidi="ar-SA"/>
        </w:rPr>
        <w:t xml:space="preserve">dados a determinado candidato sub judice seriam nulos, além de confrontar o que a legislação eleitoral aduz. </w:t>
      </w: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>Requer o autor a aplicação de multa, suspensão da programação da rádio e direito de resposta.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000000"/>
          <w:sz w:val="24"/>
          <w:szCs w:val="24"/>
          <w:shd w:fill="auto" w:val="clear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000000"/>
          <w:sz w:val="24"/>
          <w:szCs w:val="24"/>
          <w:shd w:fill="auto" w:val="clear"/>
          <w:lang w:val="pt-BR" w:eastAsia="pt-BR" w:bidi="ar-SA"/>
        </w:rPr>
        <w:t>É o relatório.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>Compulsando os autos, notadamente a mídia de fls. __, verifica-se que o Sr. ______________, ao tecer comentários no programa da Rádio ______________, desinformou os espectadores acerca do processo eleitoral pós-registro, mormente no tocante à questão do registro sub judice do candidato _____________________. O comentarista chega a dizer que “_________.”, o que não se adequa à realidade normativa eleitoral.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>Na verdade, a Lei Eleitoral diz que:</w:t>
      </w:r>
    </w:p>
    <w:p>
      <w:pPr>
        <w:pStyle w:val="Corpodotexto"/>
        <w:widowControl/>
        <w:suppressAutoHyphens w:val="true"/>
        <w:bidi w:val="0"/>
        <w:spacing w:lineRule="auto" w:line="360" w:before="120" w:after="120"/>
        <w:ind w:left="2268" w:right="0" w:hanging="0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pt-BR" w:eastAsia="pt-BR" w:bidi="ar-SA"/>
        </w:rPr>
        <w:t>Art. 16-A. O candidato cujo registro esteja sub judice poderá efetuar todos os atos relativos à campanha eleitoral, inclusive utilizar o horário eleitoral gratuito no rádio e na televisão e ter seu nome mantido na urna eletrônica enquanto estiver sob essa condição, ficando a validade dos votos a ele atribuídos condicionada ao deferimento de seu registro por instância superior.</w:t>
      </w:r>
    </w:p>
    <w:p>
      <w:pPr>
        <w:pStyle w:val="Corpodotexto"/>
        <w:widowControl/>
        <w:suppressAutoHyphens w:val="true"/>
        <w:bidi w:val="0"/>
        <w:spacing w:lineRule="auto" w:line="360" w:before="0" w:after="283"/>
        <w:ind w:left="2268" w:right="0" w:hanging="0"/>
        <w:jc w:val="both"/>
        <w:textAlignment w:val="baseline"/>
        <w:rPr>
          <w:rFonts w:ascii="Cambria" w:hAnsi="Cambria" w:cs="Cambria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bookmarkStart w:id="0" w:name="art16ap"/>
      <w:bookmarkEnd w:id="0"/>
      <w:r>
        <w:rPr>
          <w:rFonts w:cs="Cambria" w:ascii="Cambria" w:hAnsi="Cambria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Parágrafo único. O cômputo, para o respectivo partido ou coligação, dos votos atribuídos ao candidato cujo registro esteja sub judice no dia da eleição fica condicionado ao deferimento do registro do candidato.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4"/>
          <w:szCs w:val="24"/>
          <w:lang w:val="pt-BR" w:eastAsia="pt-BR" w:bidi="ar-SA"/>
        </w:rPr>
        <w:t>Ressalte-se ainda que a Resolução 23.610/2019-TSE traz normas sobre a programação normal das emissoras de rádio e televisão, a fim de evitar o abuso na utilização dos meios de comunicação social e a quebra no equilíbrio na disputa, nos seguintes termos:</w:t>
      </w:r>
    </w:p>
    <w:p>
      <w:pPr>
        <w:pStyle w:val="Corpodotexto"/>
        <w:widowControl/>
        <w:pBdr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2778" w:right="0" w:hanging="0"/>
        <w:jc w:val="both"/>
        <w:rPr>
          <w:rFonts w:ascii="Cambria" w:hAnsi="Cambria" w:eastAsia="Times New Roman" w:cs="Cambria"/>
          <w:b w:val="false"/>
          <w:b w:val="false"/>
          <w:bCs w:val="false"/>
          <w:color w:val="auto"/>
          <w:sz w:val="22"/>
          <w:szCs w:val="22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2"/>
          <w:szCs w:val="22"/>
          <w:lang w:val="pt-BR" w:eastAsia="pt-BR" w:bidi="ar-SA"/>
        </w:rPr>
      </w:r>
    </w:p>
    <w:p>
      <w:pPr>
        <w:pStyle w:val="Corpodotexto"/>
        <w:widowControl/>
        <w:pBdr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2268" w:right="0" w:hanging="0"/>
        <w:jc w:val="both"/>
        <w:textAlignment w:val="baseline"/>
        <w:rPr/>
      </w:pPr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 w:eastAsia="pt-BR" w:bidi="ar-SA"/>
        </w:rPr>
        <w:t xml:space="preserve">Art. 43. A partir de 6 de agosto do ano da eleição, é vedado às emissoras de rádio e de televisão, em sua programação normal e noticiário </w:t>
      </w:r>
      <w:r>
        <w:fldChar w:fldCharType="begin"/>
      </w:r>
      <w:r>
        <w:rPr>
          <w:rStyle w:val="LinkdaInternet"/>
          <w:smallCaps w:val="false"/>
          <w:caps w:val="false"/>
          <w:sz w:val="22"/>
          <w:spacing w:val="0"/>
          <w:i w:val="false"/>
          <w:b w:val="false"/>
          <w:shd w:fill="auto" w:val="clear"/>
          <w:szCs w:val="22"/>
          <w:bCs w:val="false"/>
          <w:rFonts w:eastAsia="Times New Roman" w:cs="Cambria" w:ascii="Cambria" w:hAnsi="Cambria"/>
          <w:color w:val="000000"/>
          <w:lang w:val="pt-BR" w:eastAsia="pt-BR" w:bidi="ar-SA"/>
        </w:rPr>
        <w:instrText> HYPERLINK "http://www.planalto.gov.br/ccivil_03/leis/l9504.htm" \l "art45" \n _blank</w:instrText>
      </w:r>
      <w:r>
        <w:rPr>
          <w:rStyle w:val="LinkdaInternet"/>
          <w:smallCaps w:val="false"/>
          <w:caps w:val="false"/>
          <w:sz w:val="22"/>
          <w:spacing w:val="0"/>
          <w:i w:val="false"/>
          <w:b w:val="false"/>
          <w:shd w:fill="auto" w:val="clear"/>
          <w:szCs w:val="22"/>
          <w:bCs w:val="false"/>
          <w:rFonts w:eastAsia="Times New Roman" w:cs="Cambria" w:ascii="Cambria" w:hAnsi="Cambria"/>
          <w:color w:val="000000"/>
          <w:lang w:val="pt-BR" w:eastAsia="pt-BR" w:bidi="ar-SA"/>
        </w:rPr>
        <w:fldChar w:fldCharType="separate"/>
      </w:r>
      <w:r>
        <w:rPr>
          <w:rStyle w:val="LinkdaInternet"/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 w:eastAsia="pt-BR" w:bidi="ar-SA"/>
        </w:rPr>
        <w:t>(Lei nº 9.504/1997, art. 45, I, III, IV, V e VI</w:t>
      </w:r>
      <w:r>
        <w:rPr>
          <w:rStyle w:val="LinkdaInternet"/>
          <w:smallCaps w:val="false"/>
          <w:caps w:val="false"/>
          <w:sz w:val="22"/>
          <w:spacing w:val="0"/>
          <w:i w:val="false"/>
          <w:b w:val="false"/>
          <w:shd w:fill="auto" w:val="clear"/>
          <w:szCs w:val="22"/>
          <w:bCs w:val="false"/>
          <w:rFonts w:eastAsia="Times New Roman" w:cs="Cambria" w:ascii="Cambria" w:hAnsi="Cambria"/>
          <w:color w:val="000000"/>
          <w:lang w:val="pt-BR" w:eastAsia="pt-BR" w:bidi="ar-SA"/>
        </w:rPr>
        <w:fldChar w:fldCharType="end"/>
      </w:r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 w:eastAsia="pt-BR" w:bidi="ar-SA"/>
        </w:rPr>
        <w:t>; vide</w:t>
      </w:r>
      <w:hyperlink r:id="rId2" w:tgtFrame="_blank">
        <w:r>
          <w:rPr>
            <w:rStyle w:val="LinkdaInternet"/>
            <w:rFonts w:eastAsia="Times New Roman" w:cs="Cambria" w:ascii="Cambria" w:hAnsi="Cambria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2"/>
            <w:szCs w:val="22"/>
            <w:shd w:fill="auto" w:val="clear"/>
            <w:lang w:val="pt-BR" w:eastAsia="pt-BR" w:bidi="ar-SA"/>
          </w:rPr>
          <w:t>ADI nº 4.451)</w:t>
        </w:r>
      </w:hyperlink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 w:eastAsia="pt-BR" w:bidi="ar-SA"/>
        </w:rPr>
        <w:t>: (</w:t>
      </w:r>
      <w:r>
        <w:fldChar w:fldCharType="begin"/>
      </w:r>
      <w:r>
        <w:rPr>
          <w:rStyle w:val="LinkdaInternet"/>
          <w:smallCaps w:val="false"/>
          <w:caps w:val="false"/>
          <w:sz w:val="22"/>
          <w:spacing w:val="0"/>
          <w:i w:val="false"/>
          <w:b w:val="false"/>
          <w:shd w:fill="auto" w:val="clear"/>
          <w:szCs w:val="22"/>
          <w:bCs w:val="false"/>
          <w:rFonts w:eastAsia="Times New Roman" w:cs="Cambria" w:ascii="Cambria" w:hAnsi="Cambria"/>
          <w:color w:val="000000"/>
          <w:lang w:val="pt-BR" w:eastAsia="pt-BR" w:bidi="ar-SA"/>
        </w:rPr>
        <w:instrText> HYPERLINK "http://www.tse.jus.br/legislacao/compilada/res/2020/resolucao-no-23-624-de-13-de-agosto-de-2020/" \l "art11III" \n _blank</w:instrText>
      </w:r>
      <w:r>
        <w:rPr>
          <w:rStyle w:val="LinkdaInternet"/>
          <w:smallCaps w:val="false"/>
          <w:caps w:val="false"/>
          <w:sz w:val="22"/>
          <w:spacing w:val="0"/>
          <w:i w:val="false"/>
          <w:b w:val="false"/>
          <w:shd w:fill="auto" w:val="clear"/>
          <w:szCs w:val="22"/>
          <w:bCs w:val="false"/>
          <w:rFonts w:eastAsia="Times New Roman" w:cs="Cambria" w:ascii="Cambria" w:hAnsi="Cambria"/>
          <w:color w:val="000000"/>
          <w:lang w:val="pt-BR" w:eastAsia="pt-BR" w:bidi="ar-SA"/>
        </w:rPr>
        <w:fldChar w:fldCharType="separate"/>
      </w:r>
      <w:r>
        <w:rPr>
          <w:rStyle w:val="LinkdaInternet"/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 w:eastAsia="pt-BR" w:bidi="ar-SA"/>
        </w:rPr>
        <w:t>Vide, para as Eleições de 2020, art. 11, inciso III, da Resolução nº 23.624/2020</w:t>
      </w:r>
      <w:r>
        <w:rPr>
          <w:rStyle w:val="LinkdaInternet"/>
          <w:smallCaps w:val="false"/>
          <w:caps w:val="false"/>
          <w:sz w:val="22"/>
          <w:spacing w:val="0"/>
          <w:i w:val="false"/>
          <w:b w:val="false"/>
          <w:shd w:fill="auto" w:val="clear"/>
          <w:szCs w:val="22"/>
          <w:bCs w:val="false"/>
          <w:rFonts w:eastAsia="Times New Roman" w:cs="Cambria" w:ascii="Cambria" w:hAnsi="Cambria"/>
          <w:color w:val="000000"/>
          <w:lang w:val="pt-BR" w:eastAsia="pt-BR" w:bidi="ar-SA"/>
        </w:rPr>
        <w:fldChar w:fldCharType="end"/>
      </w:r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 w:eastAsia="pt-BR" w:bidi="ar-SA"/>
        </w:rPr>
        <w:t>)</w:t>
      </w:r>
    </w:p>
    <w:p>
      <w:pPr>
        <w:pStyle w:val="Corpodotexto"/>
        <w:widowControl/>
        <w:pBdr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2268" w:right="0" w:hanging="0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2"/>
          <w:szCs w:val="22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2"/>
          <w:szCs w:val="22"/>
          <w:lang w:val="pt-BR" w:eastAsia="pt-BR" w:bidi="ar-SA"/>
        </w:rPr>
        <w:t>I - transmitir, ainda que sob a forma de entrevista jornalística, imagens de realização de pesquisa ou qualquer outro tipo de consulta popular de natureza eleitoral em que seja possível identificar o entrevistado ou em que haja manipulação de dados;</w:t>
      </w:r>
    </w:p>
    <w:p>
      <w:pPr>
        <w:pStyle w:val="Corpodotexto"/>
        <w:widowControl/>
        <w:pBdr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2268" w:right="0" w:hanging="0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2"/>
          <w:szCs w:val="22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2"/>
          <w:szCs w:val="22"/>
          <w:lang w:val="pt-BR" w:eastAsia="pt-BR" w:bidi="ar-SA"/>
        </w:rPr>
        <w:t>II - veicular propaganda política;</w:t>
      </w:r>
    </w:p>
    <w:p>
      <w:pPr>
        <w:pStyle w:val="Corpodotexto"/>
        <w:widowControl/>
        <w:pBdr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2268" w:right="0" w:hanging="0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2"/>
          <w:szCs w:val="22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2"/>
          <w:szCs w:val="22"/>
          <w:lang w:val="pt-BR" w:eastAsia="pt-BR" w:bidi="ar-SA"/>
        </w:rPr>
        <w:t>III - dar tratamento privilegiado a candidato, partido político ou coligação;</w:t>
      </w:r>
    </w:p>
    <w:p>
      <w:pPr>
        <w:pStyle w:val="Corpodotexto"/>
        <w:widowControl/>
        <w:pBdr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2268" w:right="0" w:hanging="0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2"/>
          <w:szCs w:val="22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2"/>
          <w:szCs w:val="22"/>
          <w:lang w:val="pt-BR" w:eastAsia="pt-BR" w:bidi="ar-SA"/>
        </w:rPr>
        <w:t>IV - veicular ou divulgar filmes, novelas, minisséries ou qualquer outro programa com alusão ou crítica a candidato ou a partido político, mesmo que dissimuladamente, exceto programas jornalísticos ou debates políticos;</w:t>
      </w:r>
    </w:p>
    <w:p>
      <w:pPr>
        <w:pStyle w:val="Corpodotexto"/>
        <w:widowControl/>
        <w:pBdr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2268" w:right="0" w:hanging="0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color w:val="auto"/>
          <w:sz w:val="22"/>
          <w:szCs w:val="22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color w:val="auto"/>
          <w:sz w:val="22"/>
          <w:szCs w:val="22"/>
          <w:lang w:val="pt-BR" w:eastAsia="pt-BR" w:bidi="ar-SA"/>
        </w:rPr>
        <w:t>V - divulgar nome de programa que se refira a candidato escolhido em convenção, ainda quando preexistente, inclusive se coincidente com o nome do candidato ou o nome por ele indicado para uso na urna eletrônica, e, sendo coincidentes os nomes do programa e do candidato, fica proibida a sua divulgação, sob pena de cancelamento do respectivo registro.</w:t>
      </w:r>
    </w:p>
    <w:p>
      <w:pPr>
        <w:pStyle w:val="Corpodotexto"/>
        <w:spacing w:lineRule="atLeast" w:line="100"/>
        <w:ind w:left="2805" w:right="0" w:hanging="0"/>
        <w:jc w:val="both"/>
        <w:rPr>
          <w:rFonts w:ascii="Cambria" w:hAnsi="Cambria" w:cs="Cambria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  <w:lang w:eastAsia="ar-SA"/>
        </w:rPr>
      </w:pPr>
      <w:r>
        <w:rPr>
          <w:rFonts w:cs="Cambria" w:ascii="Cambria" w:hAnsi="Cambria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eastAsia="ar-SA"/>
        </w:rPr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eastAsia="pt-BR" w:bidi="ar-SA"/>
        </w:rPr>
        <w:t xml:space="preserve">No caso dos autos, a emissora representada veiculou programa de cunho informativo, devendo assim atentar para o caráter legal e verídico de tais informações eleitorais. 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eastAsia="pt-BR" w:bidi="ar-SA"/>
        </w:rPr>
        <w:t xml:space="preserve">Ao que parece, a emissora de rádio atuou fora dos limites do seu direito-dever de informar fato relevante, de interesse geral, vislumbrando-se, no caso, prejuízo ao equilíbrio da disputa eleitoral. 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eastAsia="Times New Roman" w:cs="Cambria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Cambria" w:ascii="Cambria" w:hAnsi="Cambria"/>
          <w:b w:val="false"/>
          <w:bCs w:val="false"/>
          <w:i w:val="false"/>
          <w:iCs w:val="false"/>
          <w:color w:val="auto"/>
          <w:sz w:val="24"/>
          <w:szCs w:val="24"/>
          <w:lang w:val="pt-BR" w:eastAsia="pt-BR" w:bidi="ar-SA"/>
        </w:rPr>
        <w:t xml:space="preserve">O Egrégio TSE desde de muito tempo vem decidindo que "(...) o estado deve podar os excessos cometidos em nome da liberdade de imprensa sempre que possam comprometer o processo eleitoral." (Rp n° 1.256/DF, Rei. Min. Ari Pargendler, DJ de 17.10.2006). Este parece ser o caso sob análise. </w:t>
      </w:r>
    </w:p>
    <w:p>
      <w:pPr>
        <w:pStyle w:val="Corpodetexto2"/>
        <w:widowControl w:val="false"/>
        <w:suppressAutoHyphens w:val="true"/>
        <w:bidi w:val="0"/>
        <w:spacing w:lineRule="auto" w:line="360" w:before="120" w:after="120"/>
        <w:ind w:left="0" w:right="0" w:firstLine="1701"/>
        <w:jc w:val="both"/>
        <w:textAlignment w:val="baseline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pt-BR" w:eastAsia="pt-BR" w:bidi="pt-BR"/>
        </w:rPr>
        <w:t>Isto posto, manifesta-se o Ministério Público p</w:t>
      </w:r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pt-BR" w:eastAsia="pt-BR" w:bidi="ar-SA"/>
        </w:rPr>
        <w:t xml:space="preserve">elo </w:t>
      </w:r>
      <w:r>
        <w:rPr>
          <w:rFonts w:eastAsia="Times New Roman" w:cs="Cambria"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pt-BR" w:eastAsia="pt-BR" w:bidi="ar-SA"/>
        </w:rPr>
        <w:t>provimento</w:t>
      </w:r>
      <w:r>
        <w:rPr>
          <w:rFonts w:eastAsia="Times New Roman" w:cs="Cambria" w:ascii="Cambria" w:hAnsi="Cambri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pt-BR" w:eastAsia="pt-BR" w:bidi="ar-SA"/>
        </w:rPr>
        <w:t xml:space="preserve"> parcial da presente representação, com a indicação de que sejam retirados do polo passivo da demanda os candidatos e que seja RETIFICADA a informação divulgada por meio de nota ou direito de resposta ao requerente, nas mesmas condições (horário e duração) da divulgação inicial, sob pena de se sujeitar a emissora requerida ao pagamento de multa no valor de R$21.282,00 (vinte e um mil, duzentos e oitenta e dois reais) a R$106.410,00 (cento e seis mil, quatrocentos e dez reais), duplicada em caso de reincidência (Lei nº 9.504/1997, art. 45, § 2º).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3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Garamond">
    <w:charset w:val="00"/>
    <w:family w:val="roman"/>
    <w:pitch w:val="variable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WWFontepargpadro111">
    <w:name w:val="WW-Fonte parág. padrão111"/>
    <w:qFormat/>
    <w:rPr/>
  </w:style>
  <w:style w:type="character" w:styleId="Linkdainternetvisitado">
    <w:name w:val="Link da internet visitado"/>
    <w:basedOn w:val="WWFontepargpadro111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2">
    <w:name w:val="Corpo de texto 2"/>
    <w:basedOn w:val="Normal"/>
    <w:qFormat/>
    <w:pPr>
      <w:spacing w:lineRule="auto" w:line="360"/>
      <w:jc w:val="both"/>
    </w:pPr>
    <w:rPr>
      <w:rFonts w:ascii="Garamond" w:hAnsi="Garamond" w:cs="Garamond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rtal.stf.jus.br/processos/detalhe.asp?incidente=3938343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728</Words>
  <Characters>3980</Characters>
  <CharactersWithSpaces>4688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2023-06-08T12:41:42Z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