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both"/>
        <w:rPr/>
      </w:pPr>
      <w:r>
        <w:rPr>
          <w:rFonts w:cs="Arial" w:ascii="Arial" w:hAnsi="Arial"/>
          <w:b/>
          <w:bCs/>
          <w:sz w:val="25"/>
          <w:szCs w:val="25"/>
        </w:rPr>
        <w:t>Autos nº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/>
          <w:bCs/>
          <w:sz w:val="25"/>
          <w:szCs w:val="25"/>
        </w:rPr>
      </w:pPr>
      <w:r>
        <w:rPr>
          <w:rFonts w:cs="Arial" w:ascii="Arial" w:hAnsi="Arial"/>
          <w:b/>
          <w:bCs/>
          <w:sz w:val="25"/>
          <w:szCs w:val="25"/>
        </w:rPr>
        <w:t>Natureza: Ação de Guarda c/c desligamento institucional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b/>
          <w:b/>
          <w:bCs/>
          <w:sz w:val="25"/>
          <w:szCs w:val="25"/>
        </w:rPr>
      </w:pPr>
      <w:r>
        <w:rPr>
          <w:rFonts w:cs="Arial" w:ascii="Arial" w:hAnsi="Arial"/>
          <w:b/>
          <w:bCs/>
          <w:sz w:val="25"/>
          <w:szCs w:val="25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5"/>
          <w:szCs w:val="25"/>
        </w:rPr>
      </w:pPr>
      <w:r>
        <w:rPr>
          <w:rFonts w:cs="Arial" w:ascii="Arial" w:hAnsi="Arial"/>
          <w:sz w:val="25"/>
          <w:szCs w:val="25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5"/>
          <w:szCs w:val="25"/>
        </w:rPr>
      </w:pPr>
      <w:r>
        <w:rPr>
          <w:rFonts w:cs="Arial" w:ascii="Arial" w:hAnsi="Arial"/>
          <w:sz w:val="25"/>
          <w:szCs w:val="25"/>
        </w:rPr>
        <w:t xml:space="preserve">Senhor Juiz, 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5"/>
          <w:szCs w:val="25"/>
        </w:rPr>
      </w:pPr>
      <w:r>
        <w:rPr>
          <w:rFonts w:cs="Arial" w:ascii="Arial" w:hAnsi="Arial"/>
          <w:sz w:val="25"/>
          <w:szCs w:val="25"/>
        </w:rPr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cs="Arial" w:ascii="Arial" w:hAnsi="Arial"/>
          <w:sz w:val="25"/>
          <w:szCs w:val="25"/>
        </w:rPr>
        <w:t xml:space="preserve">Trata-se de Ação de Guarda cumulada com Pedido de Desligamento ajuizada por </w:t>
      </w:r>
      <w:r>
        <w:rPr>
          <w:rFonts w:cs="Arial" w:ascii="Arial" w:hAnsi="Arial"/>
          <w:sz w:val="25"/>
          <w:szCs w:val="25"/>
        </w:rPr>
        <w:t>XXX</w:t>
      </w:r>
      <w:r>
        <w:rPr>
          <w:rFonts w:cs="Arial" w:ascii="Arial" w:hAnsi="Arial"/>
          <w:b/>
          <w:bCs/>
          <w:sz w:val="25"/>
          <w:szCs w:val="25"/>
        </w:rPr>
        <w:t xml:space="preserve"> e </w:t>
      </w:r>
      <w:r>
        <w:rPr>
          <w:rFonts w:cs="Arial" w:ascii="Arial" w:hAnsi="Arial"/>
          <w:b/>
          <w:bCs/>
          <w:sz w:val="25"/>
          <w:szCs w:val="25"/>
        </w:rPr>
        <w:t>XXX</w:t>
      </w:r>
      <w:r>
        <w:rPr>
          <w:rFonts w:cs="Arial" w:ascii="Arial" w:hAnsi="Arial"/>
          <w:sz w:val="25"/>
          <w:szCs w:val="25"/>
        </w:rPr>
        <w:t xml:space="preserve"> em relação à criança </w:t>
      </w:r>
      <w:r>
        <w:rPr>
          <w:rFonts w:cs="Arial" w:ascii="Arial" w:hAnsi="Arial"/>
          <w:b/>
          <w:bCs/>
          <w:sz w:val="25"/>
          <w:szCs w:val="25"/>
        </w:rPr>
        <w:t>XXX</w:t>
      </w:r>
      <w:r>
        <w:rPr>
          <w:rFonts w:cs="Arial" w:ascii="Arial" w:hAnsi="Arial"/>
          <w:sz w:val="25"/>
          <w:szCs w:val="25"/>
        </w:rPr>
        <w:t>, nascida em 08/05/2018, em desfavor de</w:t>
      </w:r>
      <w:r>
        <w:rPr>
          <w:rFonts w:cs="Arial" w:ascii="Arial" w:hAnsi="Arial"/>
          <w:sz w:val="25"/>
          <w:szCs w:val="25"/>
        </w:rPr>
        <w:t>XXX</w:t>
      </w:r>
      <w:r>
        <w:rPr>
          <w:rFonts w:cs="Arial" w:ascii="Arial" w:hAnsi="Arial"/>
          <w:b/>
          <w:bCs/>
          <w:sz w:val="25"/>
          <w:szCs w:val="25"/>
        </w:rPr>
        <w:t xml:space="preserve"> e </w:t>
      </w:r>
      <w:r>
        <w:rPr>
          <w:rFonts w:cs="Arial" w:ascii="Arial" w:hAnsi="Arial"/>
          <w:b/>
          <w:bCs/>
          <w:sz w:val="25"/>
          <w:szCs w:val="25"/>
        </w:rPr>
        <w:t>XX</w:t>
      </w:r>
      <w:r>
        <w:rPr>
          <w:rFonts w:cs="Arial" w:ascii="Arial" w:hAnsi="Arial"/>
          <w:sz w:val="25"/>
          <w:szCs w:val="25"/>
        </w:rPr>
        <w:t xml:space="preserve"> 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5"/>
          <w:szCs w:val="25"/>
        </w:rPr>
      </w:pPr>
      <w:r>
        <w:rPr>
          <w:rFonts w:cs="Arial" w:ascii="Arial" w:hAnsi="Arial"/>
          <w:sz w:val="25"/>
          <w:szCs w:val="25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5"/>
          <w:szCs w:val="25"/>
        </w:rPr>
      </w:pPr>
      <w:r>
        <w:rPr>
          <w:rFonts w:cs="Arial" w:ascii="Arial" w:hAnsi="Arial"/>
          <w:sz w:val="25"/>
          <w:szCs w:val="25"/>
        </w:rPr>
        <w:t xml:space="preserve">Guarda provisória deferida aos requerentes em 12/07/2021 (decisão de evento 49). 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5"/>
          <w:szCs w:val="25"/>
        </w:rPr>
      </w:pPr>
      <w:r>
        <w:rPr>
          <w:rFonts w:cs="Arial" w:ascii="Arial" w:hAnsi="Arial"/>
          <w:sz w:val="25"/>
          <w:szCs w:val="25"/>
        </w:rPr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cs="Arial" w:ascii="Arial" w:hAnsi="Arial"/>
          <w:sz w:val="25"/>
          <w:szCs w:val="25"/>
        </w:rPr>
        <w:t xml:space="preserve">Entretanto, em menos de um mês, os requerentes acionaram o Conselho Tutelar e efetuaram a devolução da criança para a Casa abrigo </w:t>
      </w:r>
      <w:r>
        <w:rPr>
          <w:rFonts w:cs="Arial" w:ascii="Arial" w:hAnsi="Arial"/>
          <w:sz w:val="25"/>
          <w:szCs w:val="25"/>
        </w:rPr>
        <w:t>XXX</w:t>
      </w:r>
      <w:r>
        <w:rPr>
          <w:rFonts w:cs="Arial" w:ascii="Arial" w:hAnsi="Arial"/>
          <w:sz w:val="25"/>
          <w:szCs w:val="25"/>
        </w:rPr>
        <w:t xml:space="preserve"> no dia 03/08/2021, sob a alegação de que estariam sendo ameaçados pela genitora.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5"/>
          <w:szCs w:val="25"/>
        </w:rPr>
      </w:pPr>
      <w:r>
        <w:rPr>
          <w:rFonts w:cs="Arial" w:ascii="Arial" w:hAnsi="Arial"/>
          <w:sz w:val="25"/>
          <w:szCs w:val="25"/>
        </w:rPr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cs="Arial" w:ascii="Arial" w:hAnsi="Arial"/>
          <w:sz w:val="25"/>
          <w:szCs w:val="25"/>
        </w:rPr>
        <w:t xml:space="preserve">Ressalta-se que este é o 5º acolhimento judicial de uma criança de apenas três anos de idade e todas as reintegrações familiares anteriores resultaram em novas situações de risco e novos acolhimentos, novos traumas, novas frustrações para </w:t>
      </w:r>
      <w:r>
        <w:rPr>
          <w:rFonts w:cs="Arial" w:ascii="Arial" w:hAnsi="Arial"/>
          <w:sz w:val="25"/>
          <w:szCs w:val="25"/>
        </w:rPr>
        <w:t>XX</w:t>
      </w:r>
      <w:r>
        <w:rPr>
          <w:rFonts w:cs="Arial" w:ascii="Arial" w:hAnsi="Arial"/>
          <w:sz w:val="25"/>
          <w:szCs w:val="25"/>
        </w:rPr>
        <w:t>, um histórico de acolhimento bastante intenso para uma criança ainda na primeira infância.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5"/>
          <w:szCs w:val="25"/>
        </w:rPr>
      </w:pPr>
      <w:r>
        <w:rPr>
          <w:rFonts w:cs="Arial" w:ascii="Arial" w:hAnsi="Arial"/>
          <w:sz w:val="25"/>
          <w:szCs w:val="25"/>
        </w:rPr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cs="Arial" w:ascii="Arial" w:hAnsi="Arial"/>
          <w:sz w:val="25"/>
          <w:szCs w:val="25"/>
        </w:rPr>
        <w:t xml:space="preserve">Verifica-se que a maior parte do tempo de vida da criança ocorreu em acolhimento institucional. </w:t>
      </w:r>
      <w:r>
        <w:rPr>
          <w:rFonts w:cs="Arial" w:ascii="Arial" w:hAnsi="Arial"/>
          <w:sz w:val="25"/>
          <w:szCs w:val="25"/>
        </w:rPr>
        <w:t>XX</w:t>
      </w:r>
      <w:r>
        <w:rPr>
          <w:rFonts w:cs="Arial" w:ascii="Arial" w:hAnsi="Arial"/>
          <w:sz w:val="25"/>
          <w:szCs w:val="25"/>
        </w:rPr>
        <w:t xml:space="preserve"> conta com apenas três anos e há quase três anos vem se tentando reintegrá-la à família extensa, sem sucesso.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5"/>
          <w:szCs w:val="25"/>
        </w:rPr>
      </w:pPr>
      <w:r>
        <w:rPr>
          <w:rFonts w:cs="Arial" w:ascii="Arial" w:hAnsi="Arial"/>
          <w:sz w:val="25"/>
          <w:szCs w:val="25"/>
        </w:rPr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cs="Arial" w:ascii="Arial" w:hAnsi="Arial"/>
          <w:sz w:val="25"/>
          <w:szCs w:val="25"/>
        </w:rPr>
        <w:t xml:space="preserve">Diante desse contexto, o Ministério Público requereu, mais uma vez, que a criança fosse colocada sob a guarda de uma família substituta nos termos do art. 157 do ECA, já que todos os recentes relatórios do SAI do serviço acolhedor (eventos 37 e 19) apontam que a melhor opção é a destituição do poder familiar e colocação da criança em família substituta porque as possibilidades de reintegração familiar da criança junto à família biológica foram esgotadas (pareceres de evento 85 destes autos e 64 dos Autos da Medida de Proteção </w:t>
      </w:r>
      <w:r>
        <w:rPr>
          <w:rFonts w:cs="Arial" w:ascii="Arial" w:hAnsi="Arial"/>
          <w:sz w:val="25"/>
          <w:szCs w:val="25"/>
        </w:rPr>
        <w:t>XXXX</w:t>
      </w:r>
      <w:r>
        <w:rPr>
          <w:rFonts w:cs="Arial" w:ascii="Arial" w:hAnsi="Arial"/>
          <w:sz w:val="25"/>
          <w:szCs w:val="25"/>
        </w:rPr>
        <w:t>- em apenso).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5"/>
          <w:szCs w:val="25"/>
        </w:rPr>
      </w:pPr>
      <w:r>
        <w:rPr>
          <w:rFonts w:cs="Arial" w:ascii="Arial" w:hAnsi="Arial"/>
          <w:sz w:val="25"/>
          <w:szCs w:val="25"/>
        </w:rPr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cs="Arial" w:ascii="Arial" w:hAnsi="Arial"/>
          <w:sz w:val="25"/>
          <w:szCs w:val="25"/>
        </w:rPr>
        <w:t xml:space="preserve">Entretanto, não foi esse o entendimento deste Juízo, que condicionou a colocação de </w:t>
      </w:r>
      <w:r>
        <w:rPr>
          <w:rFonts w:cs="Arial" w:ascii="Arial" w:hAnsi="Arial"/>
          <w:sz w:val="25"/>
          <w:szCs w:val="25"/>
        </w:rPr>
        <w:t>XXX</w:t>
      </w:r>
      <w:r>
        <w:rPr>
          <w:rFonts w:cs="Arial" w:ascii="Arial" w:hAnsi="Arial"/>
          <w:sz w:val="25"/>
          <w:szCs w:val="25"/>
        </w:rPr>
        <w:t xml:space="preserve"> em família substituta ao julgamento da destituição do poder familiar (decisão evento 87). 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5"/>
          <w:szCs w:val="25"/>
        </w:rPr>
      </w:pPr>
      <w:r>
        <w:rPr>
          <w:rFonts w:cs="Arial" w:ascii="Arial" w:hAnsi="Arial"/>
          <w:sz w:val="25"/>
          <w:szCs w:val="25"/>
        </w:rPr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cs="Arial" w:ascii="Arial" w:hAnsi="Arial"/>
          <w:sz w:val="25"/>
          <w:szCs w:val="25"/>
        </w:rPr>
        <w:t>No evento 89, a Defensoria, na condição de curadora especial, apresentou contestação genérica em favor do requerido</w:t>
      </w:r>
      <w:r>
        <w:rPr>
          <w:rFonts w:cs="Arial" w:ascii="Arial" w:hAnsi="Arial"/>
          <w:b/>
          <w:bCs/>
          <w:sz w:val="25"/>
          <w:szCs w:val="25"/>
        </w:rPr>
        <w:t xml:space="preserve"> </w:t>
      </w:r>
      <w:r>
        <w:rPr>
          <w:rFonts w:cs="Arial" w:ascii="Arial" w:hAnsi="Arial"/>
          <w:b/>
          <w:bCs/>
          <w:sz w:val="25"/>
          <w:szCs w:val="25"/>
        </w:rPr>
        <w:t>XXX</w:t>
      </w:r>
      <w:r>
        <w:rPr>
          <w:rFonts w:cs="Arial" w:ascii="Arial" w:hAnsi="Arial"/>
          <w:sz w:val="25"/>
          <w:szCs w:val="25"/>
        </w:rPr>
        <w:t>(genitor), requerendo a improcedência da presente ação de guarda c/c pedido de desabrigamento. Não consta dos autos, a citação da genitora</w:t>
      </w:r>
      <w:r>
        <w:rPr>
          <w:rFonts w:cs="Arial" w:ascii="Arial" w:hAnsi="Arial"/>
          <w:sz w:val="25"/>
          <w:szCs w:val="25"/>
        </w:rPr>
        <w:t>XXXX</w:t>
      </w:r>
      <w:r>
        <w:rPr>
          <w:rFonts w:cs="Arial" w:ascii="Arial" w:hAnsi="Arial"/>
          <w:b/>
          <w:bCs/>
          <w:sz w:val="25"/>
          <w:szCs w:val="25"/>
        </w:rPr>
        <w:t xml:space="preserve"> </w:t>
      </w:r>
      <w:r>
        <w:rPr>
          <w:rFonts w:cs="Arial" w:ascii="Arial" w:hAnsi="Arial"/>
          <w:sz w:val="25"/>
          <w:szCs w:val="25"/>
        </w:rPr>
        <w:t>para apresentar contestação.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5"/>
          <w:szCs w:val="25"/>
        </w:rPr>
      </w:pPr>
      <w:r>
        <w:rPr>
          <w:rFonts w:cs="Arial" w:ascii="Arial" w:hAnsi="Arial"/>
          <w:sz w:val="25"/>
          <w:szCs w:val="25"/>
        </w:rPr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cs="Arial" w:ascii="Arial" w:hAnsi="Arial"/>
          <w:sz w:val="25"/>
          <w:szCs w:val="25"/>
        </w:rPr>
        <w:t>No evento 102, os requerentes</w:t>
      </w:r>
      <w:r>
        <w:rPr>
          <w:rFonts w:cs="Arial" w:ascii="Arial" w:hAnsi="Arial"/>
          <w:b/>
          <w:bCs/>
          <w:sz w:val="25"/>
          <w:szCs w:val="25"/>
        </w:rPr>
        <w:t>XXX</w:t>
      </w:r>
      <w:r>
        <w:rPr>
          <w:rFonts w:cs="Arial" w:ascii="Arial" w:hAnsi="Arial"/>
          <w:sz w:val="25"/>
          <w:szCs w:val="25"/>
        </w:rPr>
        <w:t xml:space="preserve"> (tios de </w:t>
      </w:r>
      <w:r>
        <w:rPr>
          <w:rFonts w:cs="Arial" w:ascii="Arial" w:hAnsi="Arial"/>
          <w:sz w:val="25"/>
          <w:szCs w:val="25"/>
        </w:rPr>
        <w:t>XXX</w:t>
      </w:r>
      <w:r>
        <w:rPr>
          <w:rFonts w:cs="Arial" w:ascii="Arial" w:hAnsi="Arial"/>
          <w:sz w:val="25"/>
          <w:szCs w:val="25"/>
        </w:rPr>
        <w:t>), peticionam solicitando  autorização para visitar a sobrinha na Casa de Abrigo</w:t>
      </w:r>
      <w:r>
        <w:rPr>
          <w:rFonts w:cs="Arial" w:ascii="Arial" w:hAnsi="Arial"/>
          <w:sz w:val="25"/>
          <w:szCs w:val="25"/>
        </w:rPr>
        <w:t>XXX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5"/>
          <w:szCs w:val="25"/>
        </w:rPr>
      </w:pPr>
      <w:r>
        <w:rPr>
          <w:rFonts w:cs="Arial" w:ascii="Arial" w:hAnsi="Arial"/>
          <w:sz w:val="25"/>
          <w:szCs w:val="25"/>
        </w:rPr>
        <w:t>É o relatório.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5"/>
          <w:szCs w:val="25"/>
        </w:rPr>
      </w:pPr>
      <w:r>
        <w:rPr>
          <w:rFonts w:cs="Arial" w:ascii="Arial" w:hAnsi="Arial"/>
          <w:sz w:val="25"/>
          <w:szCs w:val="25"/>
        </w:rPr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cs="Arial" w:ascii="Arial" w:hAnsi="Arial"/>
          <w:sz w:val="25"/>
          <w:szCs w:val="25"/>
        </w:rPr>
        <w:t xml:space="preserve">O Ministério Público manifesta-se </w:t>
      </w:r>
      <w:r>
        <w:rPr>
          <w:rFonts w:cs="Arial" w:ascii="Arial" w:hAnsi="Arial"/>
          <w:b/>
          <w:bCs/>
          <w:sz w:val="25"/>
          <w:szCs w:val="25"/>
        </w:rPr>
        <w:t>contrário</w:t>
      </w:r>
      <w:r>
        <w:rPr>
          <w:rFonts w:cs="Arial" w:ascii="Arial" w:hAnsi="Arial"/>
          <w:sz w:val="25"/>
          <w:szCs w:val="25"/>
        </w:rPr>
        <w:t xml:space="preserve"> ao pedido de visita dos requerentes de evento 102, pois não exercem com rigor </w:t>
      </w:r>
      <w:r>
        <w:rPr>
          <w:rFonts w:cs="Arial" w:ascii="Arial" w:hAnsi="Arial"/>
          <w:i/>
          <w:iCs/>
          <w:sz w:val="25"/>
          <w:szCs w:val="25"/>
        </w:rPr>
        <w:t>o múnus público</w:t>
      </w:r>
      <w:r>
        <w:rPr>
          <w:rFonts w:cs="Arial" w:ascii="Arial" w:hAnsi="Arial"/>
          <w:sz w:val="25"/>
          <w:szCs w:val="25"/>
        </w:rPr>
        <w:t xml:space="preserve"> que lhes foram confiados, isto é, de guardiões da pequena </w:t>
      </w:r>
      <w:r>
        <w:rPr>
          <w:rFonts w:cs="Arial" w:ascii="Arial" w:hAnsi="Arial"/>
          <w:sz w:val="25"/>
          <w:szCs w:val="25"/>
        </w:rPr>
        <w:t>XXX</w:t>
      </w:r>
      <w:r>
        <w:rPr>
          <w:rFonts w:cs="Arial" w:ascii="Arial" w:hAnsi="Arial"/>
          <w:sz w:val="25"/>
          <w:szCs w:val="25"/>
        </w:rPr>
        <w:t>.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5"/>
          <w:szCs w:val="25"/>
        </w:rPr>
      </w:pPr>
      <w:r>
        <w:rPr>
          <w:rFonts w:cs="Arial" w:ascii="Arial" w:hAnsi="Arial"/>
          <w:sz w:val="25"/>
          <w:szCs w:val="25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i/>
          <w:i/>
          <w:iCs/>
          <w:spacing w:val="2"/>
          <w:sz w:val="24"/>
          <w:szCs w:val="24"/>
          <w:highlight w:val="white"/>
        </w:rPr>
      </w:pPr>
      <w:r>
        <w:rPr>
          <w:rFonts w:cs="Arial" w:ascii="Arial" w:hAnsi="Arial"/>
          <w:sz w:val="25"/>
          <w:szCs w:val="25"/>
        </w:rPr>
        <w:t xml:space="preserve"> </w:t>
      </w:r>
      <w:r>
        <w:rPr>
          <w:rFonts w:cs="Arial" w:ascii="Arial" w:hAnsi="Arial"/>
          <w:sz w:val="25"/>
          <w:szCs w:val="25"/>
        </w:rPr>
        <w:t xml:space="preserve">O </w:t>
      </w:r>
      <w:r>
        <w:rPr>
          <w:rFonts w:cs="Arial" w:ascii="Arial" w:hAnsi="Arial"/>
          <w:spacing w:val="2"/>
          <w:sz w:val="25"/>
          <w:szCs w:val="25"/>
          <w:shd w:fill="FFFFFF" w:val="clear"/>
        </w:rPr>
        <w:t xml:space="preserve">objetivo da guarda é de proteger e prover as necessidades de desenvolvimento do guardando que dele necessite, colocado sob sua responsabilidade em virtude de lei ou decisão judicial, conforme dispõe o art. 33 da Lei n. 8.069/90: </w:t>
      </w:r>
      <w:r>
        <w:rPr>
          <w:rFonts w:cs="Arial" w:ascii="Arial" w:hAnsi="Arial"/>
          <w:color w:val="000000"/>
          <w:shd w:fill="FFFFFF" w:val="clear"/>
        </w:rPr>
        <w:t> </w:t>
      </w:r>
      <w:bookmarkStart w:id="0" w:name="art33"/>
      <w:bookmarkEnd w:id="0"/>
      <w:r>
        <w:rPr>
          <w:rFonts w:cs="Arial" w:ascii="Arial" w:hAnsi="Arial"/>
          <w:i/>
          <w:iCs/>
          <w:color w:val="000000"/>
          <w:sz w:val="24"/>
          <w:szCs w:val="24"/>
          <w:shd w:fill="FFFFFF" w:val="clear"/>
        </w:rPr>
        <w:t xml:space="preserve">“A guarda obriga a prestação de assistência material, moral e educacional à criança ou adolescente, </w:t>
      </w:r>
      <w:r>
        <w:rPr>
          <w:rFonts w:cs="Arial" w:ascii="Arial" w:hAnsi="Arial"/>
          <w:b/>
          <w:bCs/>
          <w:i/>
          <w:iCs/>
          <w:color w:val="000000"/>
          <w:sz w:val="24"/>
          <w:szCs w:val="24"/>
          <w:shd w:fill="FFFFFF" w:val="clear"/>
        </w:rPr>
        <w:t>conferindo a seu detentor o direito de opor-se a terceiros, inclusive aos pais</w:t>
      </w:r>
      <w:r>
        <w:rPr>
          <w:rFonts w:cs="Arial" w:ascii="Arial" w:hAnsi="Arial"/>
          <w:i/>
          <w:iCs/>
          <w:spacing w:val="2"/>
          <w:sz w:val="24"/>
          <w:szCs w:val="24"/>
          <w:shd w:fill="FFFFFF" w:val="clear"/>
        </w:rPr>
        <w:t>.”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i/>
          <w:i/>
          <w:iCs/>
          <w:spacing w:val="2"/>
          <w:sz w:val="24"/>
          <w:szCs w:val="24"/>
          <w:highlight w:val="white"/>
        </w:rPr>
      </w:pPr>
      <w:r>
        <w:rPr>
          <w:rFonts w:cs="Arial" w:ascii="Arial" w:hAnsi="Arial"/>
          <w:i/>
          <w:iCs/>
          <w:spacing w:val="2"/>
          <w:sz w:val="24"/>
          <w:szCs w:val="24"/>
          <w:highlight w:val="white"/>
        </w:rPr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cs="Arial" w:ascii="Arial" w:hAnsi="Arial"/>
          <w:sz w:val="25"/>
          <w:szCs w:val="25"/>
        </w:rPr>
        <w:t xml:space="preserve">Os requerentes não cumpriram com suas responsabilidades e, na primeira intercorrência que tiveram com a mãe de </w:t>
      </w:r>
      <w:r>
        <w:rPr>
          <w:rFonts w:cs="Arial" w:ascii="Arial" w:hAnsi="Arial"/>
          <w:sz w:val="25"/>
          <w:szCs w:val="25"/>
        </w:rPr>
        <w:t>XXX</w:t>
      </w:r>
      <w:r>
        <w:rPr>
          <w:rFonts w:cs="Arial" w:ascii="Arial" w:hAnsi="Arial"/>
          <w:sz w:val="25"/>
          <w:szCs w:val="25"/>
        </w:rPr>
        <w:t xml:space="preserve"> entregaram a sobrinha ao Conselho Tutelar, fato que originou a sua </w:t>
      </w:r>
      <w:r>
        <w:rPr>
          <w:rFonts w:cs="Arial" w:ascii="Arial" w:hAnsi="Arial"/>
          <w:b/>
          <w:bCs/>
          <w:sz w:val="25"/>
          <w:szCs w:val="25"/>
        </w:rPr>
        <w:t>sexta passagem pelo serviço de acolhimento (sendo a 5ª judicializada).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5"/>
          <w:szCs w:val="25"/>
        </w:rPr>
      </w:pPr>
      <w:r>
        <w:rPr>
          <w:rFonts w:cs="Arial" w:ascii="Arial" w:hAnsi="Arial"/>
          <w:sz w:val="25"/>
          <w:szCs w:val="25"/>
        </w:rPr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cs="Arial" w:ascii="Arial" w:hAnsi="Arial"/>
          <w:sz w:val="25"/>
          <w:szCs w:val="25"/>
        </w:rPr>
        <w:t xml:space="preserve">Além disso, consta no relatório do SAI da Casa Abrigo </w:t>
      </w:r>
      <w:r>
        <w:rPr>
          <w:rFonts w:cs="Arial" w:ascii="Arial" w:hAnsi="Arial"/>
          <w:sz w:val="25"/>
          <w:szCs w:val="25"/>
        </w:rPr>
        <w:t>XX</w:t>
      </w:r>
      <w:r>
        <w:rPr>
          <w:rFonts w:cs="Arial" w:ascii="Arial" w:hAnsi="Arial"/>
          <w:sz w:val="25"/>
          <w:szCs w:val="25"/>
        </w:rPr>
        <w:t xml:space="preserve"> que o pedido de guarda ajuizado pelos requerentes causou estranheza na equipe, tendo em vista que em todos os acolhimentos ninguém da família extensa demonstrou interesse em assumir a guarda da criança por falta de condições da família e por receio dos genitores (evento 87, Autos da Medida de proteção</w:t>
      </w:r>
      <w:r>
        <w:rPr>
          <w:rFonts w:cs="Arial" w:ascii="Arial" w:hAnsi="Arial"/>
          <w:sz w:val="25"/>
          <w:szCs w:val="25"/>
        </w:rPr>
        <w:t>XXXX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5"/>
          <w:szCs w:val="25"/>
        </w:rPr>
      </w:pPr>
      <w:r>
        <w:rPr>
          <w:rFonts w:cs="Arial" w:ascii="Arial" w:hAnsi="Arial"/>
          <w:sz w:val="25"/>
          <w:szCs w:val="25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5"/>
          <w:szCs w:val="25"/>
        </w:rPr>
      </w:pPr>
      <w:r>
        <w:rPr>
          <w:rFonts w:cs="Arial" w:ascii="Arial" w:hAnsi="Arial"/>
          <w:sz w:val="25"/>
          <w:szCs w:val="25"/>
        </w:rPr>
        <w:t>Ante o exposto, o Ministério Público requer: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5"/>
          <w:szCs w:val="25"/>
        </w:rPr>
      </w:pPr>
      <w:r>
        <w:rPr>
          <w:rFonts w:cs="Arial" w:ascii="Arial" w:hAnsi="Arial"/>
          <w:sz w:val="25"/>
          <w:szCs w:val="25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720" w:firstLine="709"/>
        <w:contextualSpacing/>
        <w:jc w:val="both"/>
        <w:rPr/>
      </w:pPr>
      <w:r>
        <w:rPr>
          <w:rFonts w:cs="Arial" w:ascii="Arial" w:hAnsi="Arial"/>
          <w:sz w:val="25"/>
          <w:szCs w:val="25"/>
        </w:rPr>
        <w:t xml:space="preserve">Considerando que o MP concorda com a equipe técnica no sentido de romper definitivamente os vínculos da criança com a família biológica (nuclear e extensa), </w:t>
      </w:r>
      <w:r>
        <w:rPr>
          <w:rFonts w:cs="Arial" w:ascii="Arial" w:hAnsi="Arial"/>
          <w:b/>
          <w:bCs/>
          <w:sz w:val="25"/>
          <w:szCs w:val="25"/>
          <w:u w:val="single"/>
        </w:rPr>
        <w:t xml:space="preserve">a fim de que </w:t>
      </w:r>
      <w:r>
        <w:rPr>
          <w:rFonts w:cs="Arial" w:ascii="Arial" w:hAnsi="Arial"/>
          <w:b/>
          <w:bCs/>
          <w:sz w:val="25"/>
          <w:szCs w:val="25"/>
          <w:u w:val="single"/>
        </w:rPr>
        <w:t>XXXX</w:t>
      </w:r>
      <w:r>
        <w:rPr>
          <w:rFonts w:cs="Arial" w:ascii="Arial" w:hAnsi="Arial"/>
          <w:b/>
          <w:bCs/>
          <w:sz w:val="25"/>
          <w:szCs w:val="25"/>
          <w:u w:val="single"/>
        </w:rPr>
        <w:t xml:space="preserve"> possa ser preparada para adoção</w:t>
      </w:r>
      <w:r>
        <w:rPr>
          <w:rFonts w:cs="Arial" w:ascii="Arial" w:hAnsi="Arial"/>
          <w:sz w:val="25"/>
          <w:szCs w:val="25"/>
        </w:rPr>
        <w:t>, não se mostra saudável mais essa reaproximação. Sendo assim, o MP se manifesta pelo indeferimento do pedido de evento 102, para que a criança não tenha qualquer tipo de aproximação com a família natural, já que os seus membros só lhe acarretaram sofrimento;</w:t>
      </w:r>
    </w:p>
    <w:p>
      <w:pPr>
        <w:pStyle w:val="ListParagraph"/>
        <w:spacing w:lineRule="auto" w:line="360" w:before="0" w:after="0"/>
        <w:ind w:left="1429" w:hanging="0"/>
        <w:contextualSpacing/>
        <w:jc w:val="both"/>
        <w:rPr>
          <w:rFonts w:ascii="Arial" w:hAnsi="Arial" w:cs="Arial"/>
          <w:sz w:val="25"/>
          <w:szCs w:val="25"/>
        </w:rPr>
      </w:pPr>
      <w:r>
        <w:rPr>
          <w:rFonts w:cs="Arial" w:ascii="Arial" w:hAnsi="Arial"/>
          <w:sz w:val="25"/>
          <w:szCs w:val="25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720" w:firstLine="709"/>
        <w:contextualSpacing/>
        <w:jc w:val="both"/>
        <w:rPr>
          <w:rFonts w:ascii="Arial" w:hAnsi="Arial" w:cs="Arial"/>
          <w:i/>
          <w:i/>
          <w:iCs/>
          <w:sz w:val="25"/>
          <w:szCs w:val="25"/>
        </w:rPr>
      </w:pPr>
      <w:r>
        <w:rPr>
          <w:rFonts w:cs="Arial" w:ascii="Arial" w:hAnsi="Arial"/>
          <w:sz w:val="25"/>
          <w:szCs w:val="25"/>
        </w:rPr>
        <w:t xml:space="preserve">Seja a criança colocada imediatamente sob a guarda provisória de uma família substituta, preferencialmente uma família não residente neste município, dado o risco que os genitores apresentam, independente do trânsito em julgado da ação de destituição do poder familiar, conforme preconiza o artigo 157 do ECA, </w:t>
      </w:r>
      <w:r>
        <w:rPr>
          <w:rFonts w:cs="Arial" w:ascii="Arial" w:hAnsi="Arial"/>
          <w:i/>
          <w:iCs/>
          <w:sz w:val="25"/>
          <w:szCs w:val="25"/>
        </w:rPr>
        <w:t>in verbis:</w:t>
      </w:r>
      <w:r>
        <w:rPr>
          <w:rFonts w:cs="Arial" w:ascii="Arial" w:hAnsi="Arial"/>
          <w:sz w:val="25"/>
          <w:szCs w:val="25"/>
        </w:rPr>
        <w:t xml:space="preserve"> </w:t>
      </w:r>
      <w:r>
        <w:rPr>
          <w:rFonts w:cs="Arial" w:ascii="Arial" w:hAnsi="Arial"/>
          <w:i/>
          <w:iCs/>
          <w:sz w:val="25"/>
          <w:szCs w:val="25"/>
        </w:rPr>
        <w:t xml:space="preserve">“Havendo </w:t>
      </w:r>
      <w:r>
        <w:rPr>
          <w:rFonts w:cs="Arial" w:ascii="Arial" w:hAnsi="Arial"/>
          <w:b/>
          <w:bCs/>
          <w:i/>
          <w:iCs/>
          <w:sz w:val="25"/>
          <w:szCs w:val="25"/>
        </w:rPr>
        <w:t>motivo grave,</w:t>
      </w:r>
      <w:r>
        <w:rPr>
          <w:rFonts w:cs="Arial" w:ascii="Arial" w:hAnsi="Arial"/>
          <w:i/>
          <w:iCs/>
          <w:sz w:val="25"/>
          <w:szCs w:val="25"/>
        </w:rPr>
        <w:t xml:space="preserve"> poderá a autoridade judiciária, ouvido o Ministério Público, decretar a suspensão do poder familiar, liminar ou incidentalmente, até o julgamento definitivo da causa, </w:t>
      </w:r>
      <w:r>
        <w:rPr>
          <w:rFonts w:cs="Arial" w:ascii="Arial" w:hAnsi="Arial"/>
          <w:b/>
          <w:bCs/>
          <w:i/>
          <w:iCs/>
          <w:sz w:val="25"/>
          <w:szCs w:val="25"/>
        </w:rPr>
        <w:t xml:space="preserve">ficando a criança ou adolescente </w:t>
      </w:r>
      <w:r>
        <w:rPr>
          <w:rFonts w:cs="Arial" w:ascii="Arial" w:hAnsi="Arial"/>
          <w:b/>
          <w:bCs/>
          <w:i/>
          <w:iCs/>
          <w:sz w:val="25"/>
          <w:szCs w:val="25"/>
          <w:u w:val="single"/>
        </w:rPr>
        <w:t>confiado</w:t>
      </w:r>
      <w:r>
        <w:rPr>
          <w:rFonts w:cs="Arial" w:ascii="Arial" w:hAnsi="Arial"/>
          <w:b/>
          <w:bCs/>
          <w:i/>
          <w:iCs/>
          <w:sz w:val="25"/>
          <w:szCs w:val="25"/>
        </w:rPr>
        <w:t xml:space="preserve"> a pessoa idônea</w:t>
      </w:r>
      <w:r>
        <w:rPr>
          <w:rFonts w:cs="Arial" w:ascii="Arial" w:hAnsi="Arial"/>
          <w:i/>
          <w:iCs/>
          <w:sz w:val="25"/>
          <w:szCs w:val="25"/>
        </w:rPr>
        <w:t>, mediante termo de responsabilidade”;</w:t>
      </w:r>
    </w:p>
    <w:p>
      <w:pPr>
        <w:pStyle w:val="ListParagraph"/>
        <w:rPr>
          <w:rFonts w:ascii="Arial" w:hAnsi="Arial" w:cs="Arial"/>
          <w:i/>
          <w:i/>
          <w:iCs/>
          <w:sz w:val="25"/>
          <w:szCs w:val="25"/>
        </w:rPr>
      </w:pPr>
      <w:r>
        <w:rPr>
          <w:rFonts w:cs="Arial" w:ascii="Arial" w:hAnsi="Arial"/>
          <w:i/>
          <w:iCs/>
          <w:sz w:val="25"/>
          <w:szCs w:val="25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720" w:firstLine="709"/>
        <w:contextualSpacing/>
        <w:jc w:val="both"/>
        <w:rPr/>
      </w:pPr>
      <w:r>
        <w:rPr>
          <w:rFonts w:cs="Arial" w:ascii="Arial" w:hAnsi="Arial"/>
          <w:sz w:val="25"/>
          <w:szCs w:val="25"/>
        </w:rPr>
        <w:t xml:space="preserve">A citação da requerida </w:t>
      </w:r>
      <w:r>
        <w:rPr>
          <w:rFonts w:cs="Arial" w:ascii="Arial" w:hAnsi="Arial"/>
          <w:b/>
          <w:bCs/>
          <w:sz w:val="25"/>
          <w:szCs w:val="25"/>
        </w:rPr>
        <w:t>X</w:t>
      </w:r>
      <w:r>
        <w:rPr>
          <w:rFonts w:cs="Arial" w:ascii="Arial" w:hAnsi="Arial"/>
          <w:b/>
          <w:bCs/>
          <w:sz w:val="25"/>
          <w:szCs w:val="25"/>
        </w:rPr>
        <w:t>X</w:t>
      </w:r>
      <w:r>
        <w:rPr>
          <w:rFonts w:cs="Arial" w:ascii="Arial" w:hAnsi="Arial"/>
          <w:sz w:val="25"/>
          <w:szCs w:val="25"/>
        </w:rPr>
        <w:t xml:space="preserve"> para, caso queira, apresentar resposta ao pedido formulado na inicial, nos termos do art. 335 do CPC.</w:t>
      </w:r>
    </w:p>
    <w:p>
      <w:pPr>
        <w:pStyle w:val="ListParagraph"/>
        <w:spacing w:lineRule="auto" w:line="360" w:before="0" w:after="0"/>
        <w:ind w:left="1429" w:hanging="0"/>
        <w:contextualSpacing/>
        <w:jc w:val="both"/>
        <w:rPr>
          <w:rFonts w:ascii="Arial" w:hAnsi="Arial" w:cs="Arial"/>
          <w:sz w:val="25"/>
          <w:szCs w:val="25"/>
        </w:rPr>
      </w:pPr>
      <w:r>
        <w:rPr>
          <w:rFonts w:cs="Arial" w:ascii="Arial" w:hAnsi="Arial"/>
          <w:sz w:val="25"/>
          <w:szCs w:val="25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720" w:firstLine="709"/>
        <w:contextualSpacing/>
        <w:jc w:val="both"/>
        <w:rPr/>
      </w:pPr>
      <w:r>
        <w:rPr>
          <w:rFonts w:cs="Arial" w:ascii="Arial" w:hAnsi="Arial"/>
          <w:sz w:val="25"/>
          <w:szCs w:val="25"/>
        </w:rPr>
        <w:t>Seja dado andamento, com urgência, ao processo de destituição do poder familiar dos requeridos, em trâmite há mais de 1(um) ano (Autos n.</w:t>
      </w:r>
      <w:r>
        <w:rPr>
          <w:rFonts w:cs="Arial" w:ascii="Arial" w:hAnsi="Arial"/>
          <w:sz w:val="25"/>
          <w:szCs w:val="25"/>
        </w:rPr>
        <w:t>XXXXX</w:t>
      </w:r>
      <w:r>
        <w:rPr>
          <w:rFonts w:cs="Arial" w:ascii="Arial" w:hAnsi="Arial"/>
          <w:sz w:val="25"/>
          <w:szCs w:val="25"/>
        </w:rPr>
        <w:t>-em apenso).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5"/>
          <w:szCs w:val="25"/>
        </w:rPr>
      </w:pPr>
      <w:r>
        <w:rPr>
          <w:rFonts w:cs="Arial" w:ascii="Arial" w:hAnsi="Arial"/>
          <w:sz w:val="25"/>
          <w:szCs w:val="25"/>
        </w:rPr>
      </w:r>
    </w:p>
    <w:p>
      <w:pPr>
        <w:pStyle w:val="Normal"/>
        <w:spacing w:lineRule="auto" w:line="360" w:before="0" w:after="0"/>
        <w:ind w:firstLine="709"/>
        <w:jc w:val="center"/>
        <w:rPr>
          <w:rFonts w:ascii="Arial" w:hAnsi="Arial" w:cs="Arial"/>
          <w:sz w:val="25"/>
          <w:szCs w:val="25"/>
        </w:rPr>
      </w:pPr>
      <w:r>
        <w:rPr>
          <w:rFonts w:cs="Arial" w:ascii="Arial" w:hAnsi="Arial"/>
          <w:sz w:val="25"/>
          <w:szCs w:val="25"/>
        </w:rPr>
        <w:t>Palmas, data certificada pelo sistema.</w:t>
      </w:r>
    </w:p>
    <w:p>
      <w:pPr>
        <w:pStyle w:val="Normal"/>
        <w:spacing w:lineRule="auto" w:line="360" w:before="0" w:after="0"/>
        <w:ind w:firstLine="709"/>
        <w:jc w:val="center"/>
        <w:rPr>
          <w:rFonts w:ascii="Arial" w:hAnsi="Arial" w:cs="Arial"/>
          <w:sz w:val="25"/>
          <w:szCs w:val="25"/>
        </w:rPr>
      </w:pPr>
      <w:r>
        <w:rPr>
          <w:rFonts w:cs="Arial" w:ascii="Arial" w:hAnsi="Arial"/>
          <w:sz w:val="25"/>
          <w:szCs w:val="25"/>
        </w:rPr>
      </w:r>
    </w:p>
    <w:p>
      <w:pPr>
        <w:pStyle w:val="Normal"/>
        <w:spacing w:lineRule="auto" w:line="360" w:before="0" w:after="0"/>
        <w:ind w:firstLine="709"/>
        <w:jc w:val="center"/>
        <w:rPr/>
      </w:pPr>
      <w:r>
        <w:rPr>
          <w:rFonts w:cs="Arial" w:ascii="Arial" w:hAnsi="Arial"/>
          <w:b/>
          <w:bCs/>
          <w:sz w:val="25"/>
          <w:szCs w:val="25"/>
        </w:rPr>
        <w:t>XXX</w:t>
      </w:r>
    </w:p>
    <w:p>
      <w:pPr>
        <w:pStyle w:val="Normal"/>
        <w:spacing w:lineRule="auto" w:line="360" w:before="0" w:after="0"/>
        <w:ind w:firstLine="709"/>
        <w:jc w:val="center"/>
        <w:rPr>
          <w:rFonts w:ascii="Arial" w:hAnsi="Arial" w:cs="Arial"/>
          <w:b/>
          <w:b/>
          <w:bCs/>
          <w:sz w:val="25"/>
          <w:szCs w:val="25"/>
        </w:rPr>
      </w:pPr>
      <w:r>
        <w:rPr>
          <w:rFonts w:cs="Arial" w:ascii="Arial" w:hAnsi="Arial"/>
          <w:b/>
          <w:bCs/>
          <w:sz w:val="25"/>
          <w:szCs w:val="25"/>
        </w:rPr>
        <w:t>Promotor de Justiça</w:t>
      </w:r>
    </w:p>
    <w:p>
      <w:pPr>
        <w:pStyle w:val="ListParagraph"/>
        <w:spacing w:lineRule="auto" w:line="360" w:before="0" w:after="0"/>
        <w:ind w:left="720" w:firstLine="709"/>
        <w:contextualSpacing/>
        <w:jc w:val="center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701" w:right="1701" w:header="1417" w:top="1956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Ubuntu">
    <w:charset w:val="01"/>
    <w:family w:val="swiss"/>
    <w:pitch w:val="default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suppressLineNumbers/>
      <w:tabs>
        <w:tab w:val="center" w:pos="4252" w:leader="none"/>
        <w:tab w:val="right" w:pos="8504" w:leader="none"/>
      </w:tabs>
      <w:spacing w:before="0" w:after="16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Ubuntu" w:hAnsi="Ubuntu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ascii="Arial" w:hAnsi="Arial"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Arial" w:hAnsi="Arial"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ascii="Arial" w:hAnsi="Arial" w:cs="Lohit Devanagari"/>
    </w:rPr>
  </w:style>
  <w:style w:type="paragraph" w:styleId="ListParagraph">
    <w:name w:val="List Paragraph"/>
    <w:basedOn w:val="Normal"/>
    <w:uiPriority w:val="34"/>
    <w:qFormat/>
    <w:rsid w:val="00a23acb"/>
    <w:pPr>
      <w:spacing w:before="0" w:after="160"/>
      <w:ind w:left="720" w:hanging="0"/>
      <w:contextualSpacing/>
    </w:pPr>
    <w:rPr/>
  </w:style>
  <w:style w:type="paragraph" w:styleId="Cabealho">
    <w:name w:val="Header"/>
    <w:basedOn w:val="Normal"/>
    <w:pPr>
      <w:suppressLineNumbers/>
      <w:tabs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Application>LibreOffice/6.0.7.3$Linux_X86_64 LibreOffice_project/00m0$Build-3</Application>
  <Pages>4</Pages>
  <Words>785</Words>
  <Characters>4156</Characters>
  <CharactersWithSpaces>4919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2021-09-03T18:40:00Z</dcterms:created>
  <dc:creator>Ecoposto Petromax</dc:creator>
  <dc:description/>
  <dc:language>pt-BR</dc:language>
  <cp:lastModifiedBy/>
  <dcterms:modified xsi:type="dcterms:W3CDTF">2022-02-14T11:26:36Z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