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numPr>
          <w:ilvl w:val="0"/>
          <w:numId w:val="1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OFÍCIO Nº </w:t>
      </w:r>
      <w:r>
        <w:rPr>
          <w:rFonts w:ascii="Arial" w:hAnsi="Arial"/>
          <w:b/>
          <w:sz w:val="22"/>
          <w:szCs w:val="22"/>
          <w:highlight w:val="yellow"/>
        </w:rPr>
        <w:t>00/202*/XXªROMOTORIA DE JUSTIÇA-MP</w:t>
      </w:r>
    </w:p>
    <w:p>
      <w:pPr>
        <w:pStyle w:val="NormalWeb"/>
        <w:numPr>
          <w:ilvl w:val="0"/>
          <w:numId w:val="1"/>
        </w:numPr>
        <w:spacing w:lineRule="auto" w:line="240"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lineRule="auto" w:line="240" w:before="0" w:after="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bookmarkStart w:id="0" w:name="data1"/>
      <w:bookmarkStart w:id="1" w:name="data1"/>
      <w:bookmarkEnd w:id="1"/>
    </w:p>
    <w:p>
      <w:pPr>
        <w:pStyle w:val="NormalWeb"/>
        <w:numPr>
          <w:ilvl w:val="0"/>
          <w:numId w:val="1"/>
        </w:numPr>
        <w:spacing w:lineRule="auto" w:line="240" w:before="0" w:after="0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highlight w:val="yellow"/>
        </w:rPr>
        <w:t>*DATA.</w:t>
      </w:r>
    </w:p>
    <w:p>
      <w:pPr>
        <w:pStyle w:val="NormalWeb"/>
        <w:numPr>
          <w:ilvl w:val="0"/>
          <w:numId w:val="1"/>
        </w:numPr>
        <w:spacing w:lineRule="auto" w:line="240" w:before="0" w:after="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Normal"/>
        <w:numPr>
          <w:ilvl w:val="0"/>
          <w:numId w:val="1"/>
        </w:numPr>
        <w:snapToGrid w:val="false"/>
        <w:spacing w:lineRule="auto" w:line="240" w:before="0" w:after="0"/>
        <w:jc w:val="both"/>
        <w:rPr>
          <w:rFonts w:ascii="Arial" w:hAnsi="Arial" w:eastAsia="Times New Roman" w:cs="Times New Roman"/>
          <w:color w:val="000000"/>
          <w:sz w:val="22"/>
          <w:szCs w:val="22"/>
          <w:highlight w:val="yellow"/>
        </w:rPr>
      </w:pPr>
      <w:r>
        <w:rPr>
          <w:rFonts w:eastAsia="Times New Roman" w:cs="Times New Roman" w:ascii="Arial" w:hAnsi="Arial"/>
          <w:color w:val="000000"/>
          <w:sz w:val="22"/>
          <w:szCs w:val="22"/>
          <w:highlight w:val="yellow"/>
        </w:rPr>
      </w:r>
    </w:p>
    <w:p>
      <w:pPr>
        <w:pStyle w:val="Normal"/>
        <w:numPr>
          <w:ilvl w:val="0"/>
          <w:numId w:val="1"/>
        </w:numPr>
        <w:snapToGrid w:val="false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Arial" w:hAnsi="Arial"/>
          <w:b w:val="false"/>
          <w:bCs w:val="false"/>
          <w:color w:val="000000"/>
          <w:sz w:val="22"/>
          <w:szCs w:val="22"/>
          <w:highlight w:val="yellow"/>
        </w:rPr>
        <w:t xml:space="preserve">A Sua Senhoria o(a) </w:t>
      </w:r>
      <w:r>
        <w:rPr>
          <w:rFonts w:eastAsia="Times New Roman" w:cs="Times New Roman" w:ascii="Arial" w:hAnsi="Arial"/>
          <w:b w:val="false"/>
          <w:bCs w:val="false"/>
          <w:color w:val="000000"/>
          <w:sz w:val="22"/>
          <w:szCs w:val="22"/>
          <w:highlight w:val="yellow"/>
          <w:lang w:val="pt-BR" w:eastAsia="zh-CN" w:bidi="hi-IN"/>
        </w:rPr>
        <w:t>S</w:t>
      </w:r>
      <w:r>
        <w:rPr>
          <w:rFonts w:eastAsia="Times New Roman" w:cs="Times New Roman" w:ascii="Arial" w:hAnsi="Arial"/>
          <w:b w:val="false"/>
          <w:bCs w:val="false"/>
          <w:color w:val="000000"/>
          <w:sz w:val="22"/>
          <w:szCs w:val="22"/>
          <w:highlight w:val="yellow"/>
        </w:rPr>
        <w:t xml:space="preserve">enhor(a), </w:t>
      </w:r>
    </w:p>
    <w:p>
      <w:pPr>
        <w:pStyle w:val="Normal"/>
        <w:numPr>
          <w:ilvl w:val="0"/>
          <w:numId w:val="1"/>
        </w:numPr>
        <w:snapToGrid w:val="false"/>
        <w:spacing w:lineRule="auto" w:line="240" w:before="0" w:after="0"/>
        <w:jc w:val="both"/>
        <w:rPr>
          <w:rFonts w:ascii="Arial" w:hAnsi="Arial" w:eastAsia="Times New Roman" w:cs="Times New Roman"/>
          <w:b/>
          <w:b/>
          <w:bCs/>
          <w:color w:val="000000"/>
          <w:sz w:val="22"/>
          <w:szCs w:val="22"/>
          <w:highlight w:val="yellow"/>
        </w:rPr>
      </w:pPr>
      <w:r>
        <w:rPr>
          <w:rFonts w:eastAsia="Times New Roman" w:cs="Times New Roman" w:ascii="Arial" w:hAnsi="Arial"/>
          <w:b/>
          <w:bCs/>
          <w:color w:val="000000"/>
          <w:sz w:val="22"/>
          <w:szCs w:val="22"/>
          <w:highlight w:val="yellow"/>
        </w:rPr>
        <w:t>*****</w:t>
      </w:r>
    </w:p>
    <w:p>
      <w:pPr>
        <w:pStyle w:val="Normal"/>
        <w:numPr>
          <w:ilvl w:val="0"/>
          <w:numId w:val="1"/>
        </w:numPr>
        <w:snapToGrid w:val="false"/>
        <w:spacing w:lineRule="auto" w:line="24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Conselho Municipal de Acompanhamento e Controle Social (CACS/FUNDEB)</w:t>
      </w:r>
    </w:p>
    <w:p>
      <w:pPr>
        <w:pStyle w:val="Normal"/>
        <w:numPr>
          <w:ilvl w:val="0"/>
          <w:numId w:val="1"/>
        </w:numPr>
        <w:snapToGrid w:val="false"/>
        <w:spacing w:lineRule="auto" w:line="240" w:before="0" w:after="0"/>
        <w:jc w:val="both"/>
        <w:rPr>
          <w:rFonts w:ascii="Arial" w:hAnsi="Arial" w:cs="Times New Roman"/>
          <w:sz w:val="22"/>
          <w:szCs w:val="22"/>
          <w:highlight w:val="yellow"/>
        </w:rPr>
      </w:pPr>
      <w:r>
        <w:rPr>
          <w:rFonts w:cs="Times New Roman" w:ascii="Arial" w:hAnsi="Arial"/>
          <w:sz w:val="22"/>
          <w:szCs w:val="22"/>
          <w:highlight w:val="yellow"/>
        </w:rPr>
        <w:t>*Endereço</w:t>
      </w:r>
    </w:p>
    <w:p>
      <w:pPr>
        <w:pStyle w:val="Normal"/>
        <w:numPr>
          <w:ilvl w:val="0"/>
          <w:numId w:val="1"/>
        </w:numPr>
        <w:snapToGrid w:val="false"/>
        <w:spacing w:lineRule="auto" w:line="24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lineRule="auto" w:line="240" w:before="0" w:after="0"/>
        <w:rPr>
          <w:rFonts w:ascii="Arial" w:hAnsi="Arial" w:cs="Times New Roman"/>
          <w:b/>
          <w:b/>
          <w:bCs/>
          <w:color w:val="000000"/>
          <w:sz w:val="22"/>
          <w:szCs w:val="22"/>
        </w:rPr>
      </w:pPr>
      <w:r>
        <w:rPr>
          <w:rFonts w:cs="Times New Roman" w:ascii="Arial" w:hAnsi="Arial"/>
          <w:b/>
          <w:bCs/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Arial" w:hAnsi="Arial"/>
          <w:sz w:val="22"/>
          <w:szCs w:val="22"/>
        </w:rPr>
      </w:pPr>
      <w:r>
        <w:rPr>
          <w:rFonts w:cs="Times New Roman" w:ascii="Arial" w:hAnsi="Arial"/>
          <w:b/>
          <w:bCs/>
          <w:sz w:val="22"/>
          <w:szCs w:val="22"/>
        </w:rPr>
        <w:t xml:space="preserve">ASSUNTO: FUNDEB - </w:t>
      </w:r>
      <w:r>
        <w:rPr>
          <w:rFonts w:eastAsia="Times New Roman" w:cs="Times New Roman" w:ascii="Arial" w:hAnsi="Arial"/>
          <w:b/>
          <w:bCs/>
          <w:color w:val="000000"/>
          <w:sz w:val="22"/>
          <w:szCs w:val="22"/>
          <w:lang w:eastAsia="pt-BR"/>
        </w:rPr>
        <w:t>COMPLEMENTAÇÃO VAAR</w:t>
      </w:r>
    </w:p>
    <w:p>
      <w:pPr>
        <w:pStyle w:val="NormalWeb"/>
        <w:numPr>
          <w:ilvl w:val="0"/>
          <w:numId w:val="1"/>
        </w:numPr>
        <w:spacing w:lineRule="auto" w:line="240" w:before="0" w:after="0"/>
        <w:jc w:val="both"/>
        <w:rPr>
          <w:rFonts w:ascii="Arial" w:hAnsi="Arial" w:eastAsia="NSimSun"/>
          <w:b/>
          <w:b/>
          <w:bCs/>
          <w:color w:val="000000"/>
          <w:sz w:val="22"/>
          <w:szCs w:val="22"/>
        </w:rPr>
      </w:pPr>
      <w:r>
        <w:rPr>
          <w:rFonts w:eastAsia="NSimSun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>
      <w:pPr>
        <w:pStyle w:val="NormalWeb"/>
        <w:numPr>
          <w:ilvl w:val="0"/>
          <w:numId w:val="1"/>
        </w:numPr>
        <w:spacing w:lineRule="auto" w:line="240"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Prezado(a) Senhor(a) Presidente,</w:t>
      </w:r>
    </w:p>
    <w:p>
      <w:pPr>
        <w:pStyle w:val="NormalWeb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ind w:left="0" w:right="0" w:firstLine="737"/>
        <w:jc w:val="both"/>
        <w:rPr/>
      </w:pPr>
      <w:r>
        <w:rPr>
          <w:rStyle w:val="Nfaseforte"/>
          <w:rFonts w:cs="Times New Roman" w:ascii="Arial" w:hAnsi="Arial"/>
          <w:b w:val="false"/>
          <w:bCs w:val="false"/>
          <w:sz w:val="22"/>
          <w:szCs w:val="22"/>
        </w:rPr>
        <w:t>A Lei Federal nº 14.113/2020 (novo FUNDEB) regulamentou o Fundo de Manutenção e Desenvolvimento da Educação Básica e de Valorização da Educação (FUNDEB), de que trata o art. 212-A, da Constituição Federal, e revogou dispositivos da Lei nº 11.494/2007. Pela nova legislação e sua regulamentação, através do Decreto nº 10.656, de 23 de março de 2021, no financiamento da educação básica foram estabelecidos novos parâmetros no que se refere à contabilização dos recursos, além de ter sido dada maior complementação progressiva pela União aos estados e municípios, e incluídos novos profissionais, com observância rigorosa dos respectivos conselhos constituídos.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ind w:left="0" w:right="0" w:firstLine="737"/>
        <w:jc w:val="both"/>
        <w:rPr/>
      </w:pPr>
      <w:r>
        <w:rPr>
          <w:rFonts w:cs="Times New Roman" w:ascii="Arial" w:hAnsi="Arial"/>
          <w:sz w:val="22"/>
          <w:szCs w:val="22"/>
        </w:rPr>
        <w:t>A contribuição da União, neste novo Fundeb, vai aumentar gradativamente até atingir o percentual de 23% dos recursos que formarão o fundo em 2026.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ind w:left="0" w:right="0" w:firstLine="737"/>
        <w:jc w:val="both"/>
        <w:rPr/>
      </w:pPr>
      <w:r>
        <w:rPr>
          <w:rFonts w:cs="Times New Roman" w:ascii="Arial" w:hAnsi="Arial"/>
          <w:sz w:val="22"/>
          <w:szCs w:val="22"/>
        </w:rPr>
        <w:t>Em relação aos municípios, o FUNDEB proporcionou maior autonomia para a alocação de recursos, cuja gestão eficiente poderá repercutir na qualidade e avanço da educação local. O FUNDEB, além de ser fonte de financiamento, é, sobretudo, instrumento de fomento da prestação educacional de qualidade e de aprimoramento dos mecanismos de gestão dessa política.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ind w:left="0" w:right="0" w:firstLine="737"/>
        <w:jc w:val="both"/>
        <w:rPr/>
      </w:pPr>
      <w:bookmarkStart w:id="2" w:name="_Hlk112838180"/>
      <w:r>
        <w:rPr>
          <w:rStyle w:val="Nfaseforte"/>
          <w:rFonts w:cs="Times New Roman" w:ascii="Arial" w:hAnsi="Arial"/>
          <w:b w:val="false"/>
          <w:bCs w:val="false"/>
          <w:sz w:val="22"/>
          <w:szCs w:val="22"/>
        </w:rPr>
        <w:t xml:space="preserve">A Lei Federal nº 14.113/2020 traz, ainda, destaque para os Conselhos de Acompanhamento e Controle Social do Fundeb – CACS/FUNDEB. Esse colegiado tem </w:t>
      </w:r>
      <w:bookmarkEnd w:id="2"/>
      <w:r>
        <w:rPr>
          <w:rStyle w:val="Nfaseforte"/>
          <w:rFonts w:cs="Times New Roman" w:ascii="Arial" w:hAnsi="Arial"/>
          <w:b w:val="false"/>
          <w:bCs w:val="false"/>
          <w:sz w:val="22"/>
          <w:szCs w:val="22"/>
        </w:rPr>
        <w:t>como</w:t>
      </w:r>
      <w:r>
        <w:rPr>
          <w:rStyle w:val="Forte1"/>
          <w:rFonts w:cs="Times New Roman" w:ascii="Arial" w:hAnsi="Arial"/>
          <w:b w:val="false"/>
          <w:bCs w:val="false"/>
          <w:sz w:val="22"/>
          <w:szCs w:val="22"/>
        </w:rPr>
        <w:t xml:space="preserve"> função primordial acompanhar a distribuição, transferência e aplicação dos recursos desse fundo. A sociedade tem o direito e o dever de colaborar para que o direito à educação se efetive, exercendo de maneira democrática e participativa o controle social e garantindo a correta aplicação das verbas públicas.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ind w:left="0" w:right="0" w:firstLine="737"/>
        <w:jc w:val="both"/>
        <w:rPr/>
      </w:pPr>
      <w:r>
        <w:rPr>
          <w:rStyle w:val="Forte1"/>
          <w:rFonts w:cs="Times New Roman" w:ascii="Arial" w:hAnsi="Arial"/>
          <w:b w:val="false"/>
          <w:bCs w:val="false"/>
          <w:sz w:val="22"/>
          <w:szCs w:val="22"/>
        </w:rPr>
        <w:t>Dentre</w:t>
      </w:r>
      <w:r>
        <w:rPr>
          <w:rStyle w:val="Fontepargpadro5"/>
          <w:rFonts w:eastAsia="Times New Roman" w:cs="Times New Roman" w:ascii="Arial" w:hAnsi="Arial"/>
          <w:sz w:val="22"/>
          <w:szCs w:val="22"/>
          <w:lang w:eastAsia="pt-BR"/>
        </w:rPr>
        <w:t xml:space="preserve"> as inovações alavancadas pela referida Emenda Constitucional destaca-se a complementação </w:t>
      </w:r>
      <w:r>
        <w:rPr>
          <w:rStyle w:val="Fontepargpadro5"/>
          <w:rFonts w:eastAsia="Times New Roman" w:cs="Times New Roman" w:ascii="Arial" w:hAnsi="Arial"/>
          <w:b/>
          <w:bCs/>
          <w:sz w:val="22"/>
          <w:szCs w:val="22"/>
          <w:lang w:eastAsia="pt-BR"/>
        </w:rPr>
        <w:t>Valor Aluno Ano por Resultados (VAAR)</w:t>
      </w:r>
      <w:r>
        <w:rPr>
          <w:rStyle w:val="Fontepargpadro5"/>
          <w:rFonts w:eastAsia="Times New Roman" w:cs="Times New Roman" w:ascii="Arial" w:hAnsi="Arial"/>
          <w:sz w:val="22"/>
          <w:szCs w:val="22"/>
          <w:lang w:eastAsia="pt-BR"/>
        </w:rPr>
        <w:t>, que deve ser feita pela União a partir de 2023 e visa os bons resultados na melhoria do ensino e redução das desigualdades. Corresponde ao percentual de 2,5% do total de 23% até 2026, que serão destinados às redes públicas que cumprirem condicionalidades de melhoria de gestão e alcançarem evolução em indicadores de atendimento e de melhoria de aprendizagem.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ind w:left="0" w:right="0" w:firstLine="737"/>
        <w:jc w:val="both"/>
        <w:rPr/>
      </w:pPr>
      <w:r>
        <w:rPr>
          <w:rStyle w:val="Fontepargpadro5"/>
          <w:rFonts w:eastAsia="Times New Roman" w:cs="Times New Roman" w:ascii="Arial" w:hAnsi="Arial"/>
          <w:sz w:val="22"/>
          <w:szCs w:val="22"/>
          <w:lang w:eastAsia="pt-BR"/>
        </w:rPr>
        <w:t xml:space="preserve">A distribuição do recurso passou a considerar </w:t>
      </w:r>
      <w:r>
        <w:rPr>
          <w:rStyle w:val="Fontepargpadro5"/>
          <w:rFonts w:eastAsia="Times New Roman" w:cs="Times New Roman" w:ascii="Arial" w:hAnsi="Arial"/>
          <w:b/>
          <w:bCs/>
          <w:sz w:val="22"/>
          <w:szCs w:val="22"/>
          <w:lang w:eastAsia="pt-BR"/>
        </w:rPr>
        <w:t>condicionalidades de melhoria de gestão, bem como evolução dos indicadores de atendimento e melhoria da aprendizagem com redução das desigualdades</w:t>
      </w:r>
      <w:r>
        <w:rPr>
          <w:rStyle w:val="Fontepargpadro5"/>
          <w:rFonts w:eastAsia="Times New Roman" w:cs="Times New Roman" w:ascii="Arial" w:hAnsi="Arial"/>
          <w:sz w:val="22"/>
          <w:szCs w:val="22"/>
          <w:lang w:eastAsia="pt-BR"/>
        </w:rPr>
        <w:t>.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ind w:left="0" w:right="0" w:firstLine="737"/>
        <w:jc w:val="both"/>
        <w:rPr/>
      </w:pPr>
      <w:r>
        <w:rPr>
          <w:rStyle w:val="Fontepargpadro5"/>
          <w:rFonts w:eastAsia="Times New Roman" w:cs="Times New Roman" w:ascii="Arial" w:hAnsi="Arial"/>
          <w:bCs/>
          <w:sz w:val="22"/>
          <w:szCs w:val="22"/>
          <w:lang w:eastAsia="pt-BR"/>
        </w:rPr>
        <w:t xml:space="preserve">Nessa esteira, a Comissão Intergovernamental de Financiamento para a Educação Básica de Qualidade (Lei nº 14.113/20, art. 17), atendendo ao disposto no artigo 18, inciso VI, da Lei do FUNDEB, publicou a </w:t>
      </w:r>
      <w:r>
        <w:rPr>
          <w:rStyle w:val="Fontepargpadro5"/>
          <w:rFonts w:eastAsia="Times New Roman" w:cs="Times New Roman" w:ascii="Arial" w:hAnsi="Arial"/>
          <w:b/>
          <w:bCs/>
          <w:color w:val="00000A"/>
          <w:kern w:val="0"/>
          <w:sz w:val="22"/>
          <w:szCs w:val="22"/>
          <w:lang w:eastAsia="pt-BR"/>
        </w:rPr>
        <w:t>Resolução nº 1, de 28 de julho de 2023</w:t>
      </w:r>
      <w:r>
        <w:rPr>
          <w:rStyle w:val="Fontepargpadro5"/>
          <w:rFonts w:eastAsia="Times New Roman" w:cs="Times New Roman" w:ascii="Arial" w:hAnsi="Arial"/>
          <w:bCs/>
          <w:sz w:val="22"/>
          <w:szCs w:val="22"/>
          <w:lang w:eastAsia="pt-BR"/>
        </w:rPr>
        <w:t>, estabelecendo as metodologias de aferição das condicionalidades de melhoria de gestão para fins de distribuição da Complementação VAAR às redes públicas de ensino, para vigência no exercício de 2024.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ind w:left="0" w:right="0" w:firstLine="737"/>
        <w:jc w:val="both"/>
        <w:rPr/>
      </w:pPr>
      <w:r>
        <w:rPr>
          <w:rFonts w:cs="Times New Roman" w:ascii="Arial" w:hAnsi="Arial"/>
          <w:sz w:val="22"/>
          <w:szCs w:val="22"/>
        </w:rPr>
        <w:t xml:space="preserve">Dito isso, o Ministério Público do Estado do </w:t>
      </w:r>
      <w:r>
        <w:rPr>
          <w:rFonts w:eastAsia="Droid Sans Fallback" w:cs="Times New Roman" w:ascii="Arial" w:hAnsi="Arial"/>
          <w:color w:val="00000A"/>
          <w:sz w:val="22"/>
          <w:szCs w:val="22"/>
          <w:lang w:val="pt-BR" w:eastAsia="zh-CN" w:bidi="hi-IN"/>
        </w:rPr>
        <w:t>Tocantins</w:t>
      </w:r>
      <w:r>
        <w:rPr>
          <w:rFonts w:cs="Times New Roman" w:ascii="Arial" w:hAnsi="Arial"/>
          <w:sz w:val="22"/>
          <w:szCs w:val="22"/>
        </w:rPr>
        <w:t xml:space="preserve">, por intermédio do membro titular da </w:t>
      </w:r>
      <w:r>
        <w:rPr>
          <w:rFonts w:cs="Times New Roman" w:ascii="Arial" w:hAnsi="Arial"/>
          <w:sz w:val="22"/>
          <w:szCs w:val="22"/>
          <w:highlight w:val="yellow"/>
        </w:rPr>
        <w:t>** Promotoria de Justiça da comarca *******,</w:t>
      </w:r>
      <w:r>
        <w:rPr>
          <w:rFonts w:cs="Times New Roman" w:ascii="Arial" w:hAnsi="Arial"/>
          <w:sz w:val="22"/>
          <w:szCs w:val="22"/>
        </w:rPr>
        <w:t xml:space="preserve"> </w:t>
      </w:r>
      <w:r>
        <w:rPr>
          <w:rFonts w:cs="Times New Roman" w:ascii="Arial" w:hAnsi="Arial"/>
          <w:i/>
          <w:iCs/>
          <w:sz w:val="22"/>
          <w:szCs w:val="22"/>
        </w:rPr>
        <w:t>in fine</w:t>
      </w:r>
      <w:r>
        <w:rPr>
          <w:rFonts w:cs="Times New Roman" w:ascii="Arial" w:hAnsi="Arial"/>
          <w:sz w:val="22"/>
          <w:szCs w:val="22"/>
        </w:rPr>
        <w:t xml:space="preserve"> subscrito(a), vem, nos termos do art. 129, inciso VI, da Constituição da República, do art. 26, inciso I, alínea “b”, da Lei nº 8.625/93 e da alínea “b”, do Art. 61 da Lei Complementar nº 51/2008, </w:t>
      </w:r>
      <w:r>
        <w:rPr>
          <w:rFonts w:cs="Times New Roman" w:ascii="Arial" w:hAnsi="Arial"/>
          <w:b/>
          <w:bCs/>
          <w:sz w:val="22"/>
          <w:szCs w:val="22"/>
        </w:rPr>
        <w:t>REQUISITAR</w:t>
      </w:r>
      <w:r>
        <w:rPr>
          <w:rFonts w:cs="Times New Roman" w:ascii="Arial" w:hAnsi="Arial"/>
          <w:color w:val="000000"/>
          <w:sz w:val="22"/>
          <w:szCs w:val="22"/>
        </w:rPr>
        <w:t xml:space="preserve">, </w:t>
      </w:r>
      <w:r>
        <w:rPr>
          <w:rFonts w:cs="Times New Roman" w:ascii="Arial" w:hAnsi="Arial"/>
          <w:color w:val="000000"/>
          <w:sz w:val="22"/>
          <w:szCs w:val="22"/>
          <w:highlight w:val="yellow"/>
        </w:rPr>
        <w:t>*no prazo de 05 (cinco) dias</w:t>
      </w:r>
      <w:r>
        <w:rPr>
          <w:rFonts w:cs="Times New Roman" w:ascii="Arial" w:hAnsi="Arial"/>
          <w:color w:val="000000"/>
          <w:sz w:val="22"/>
          <w:szCs w:val="22"/>
        </w:rPr>
        <w:t xml:space="preserve">, a contar do recebimento deste, com o intuito de acompanhar a política de educação do município, informações e evidências referentes ao acompanhamento desse colegiado em relação ao cumprimento, pelo </w:t>
      </w:r>
      <w:r>
        <w:rPr>
          <w:rFonts w:cs="Times New Roman" w:ascii="Arial" w:hAnsi="Arial"/>
          <w:color w:val="000000"/>
          <w:sz w:val="22"/>
          <w:szCs w:val="22"/>
          <w:highlight w:val="yellow"/>
        </w:rPr>
        <w:t>município ******</w:t>
      </w:r>
      <w:r>
        <w:rPr>
          <w:rFonts w:cs="Times New Roman" w:ascii="Arial" w:hAnsi="Arial"/>
          <w:color w:val="000000"/>
          <w:sz w:val="22"/>
          <w:szCs w:val="22"/>
        </w:rPr>
        <w:t xml:space="preserve">, das condicionalidades a serem comprovadas </w:t>
      </w:r>
      <w:r>
        <w:rPr>
          <w:rFonts w:cs="Times New Roman" w:ascii="Arial" w:hAnsi="Arial"/>
          <w:sz w:val="22"/>
          <w:szCs w:val="22"/>
        </w:rPr>
        <w:t xml:space="preserve">junto ao Ministério da Educação, para fins de distribuição da Complementação VAAR, às redes públicas de ensino, para vigência no exercício de 2024, relativas a: 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ind w:left="0" w:right="0" w:firstLine="737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20" w:hanging="0"/>
        <w:jc w:val="both"/>
        <w:rPr/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 xml:space="preserve">A . </w:t>
      </w:r>
      <w:r>
        <w:rPr>
          <w:rFonts w:cs="Times New Roman" w:ascii="Arial" w:hAnsi="Arial"/>
          <w:color w:val="000000"/>
          <w:kern w:val="0"/>
          <w:sz w:val="22"/>
          <w:szCs w:val="22"/>
        </w:rPr>
        <w:t xml:space="preserve"> Implementação da </w:t>
      </w: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gestão democrática para provimento do cargo de diretor escolar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20" w:hanging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Municípios que possuem Sistema de Ensino Próprio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Documento comprobatório de participação do CME da construção da política pública – participação na construção dos parâmetros do ato oficial que institui o processo de gestão democrática para provimento do cargo de diretor escolar – Lei, Decreto ou Portaria;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overflowPunct w:val="true"/>
        <w:bidi w:val="0"/>
        <w:spacing w:lineRule="auto" w:line="360" w:before="0" w:after="0"/>
        <w:jc w:val="both"/>
        <w:rPr/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Documento comprobatório de participação do CME da construção d</w:t>
      </w:r>
      <w:r>
        <w:rPr>
          <w:rFonts w:eastAsia="Droid Sans Fallback" w:cs="Times New Roman" w:ascii="Arial" w:hAnsi="Arial"/>
          <w:b w:val="false"/>
          <w:bCs w:val="false"/>
          <w:color w:val="000000"/>
          <w:kern w:val="0"/>
          <w:sz w:val="22"/>
          <w:szCs w:val="22"/>
          <w:lang w:val="pt-BR" w:eastAsia="zh-CN" w:bidi="hi-IN"/>
        </w:rPr>
        <w:t xml:space="preserve">o Edital de seleção de diretores escolares, em especial dos critérios técnicos de mérito e desempenho ou consulta pública à comunidade escolar, precedida de análise dos critérios técnicos de mérito e desempenho; 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Documento comprobatório de participação do procedimento de escolha dos diretores escolares;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 xml:space="preserve">Apresentar documentos que evidenciem a participação do colegiado – Pareceres, Resoluções, Apreciações e/ou Atas. 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20" w:hanging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Municípios que não possuem Sistema de Ensino Próprio</w:t>
      </w: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, o Conselho Municipal de Educação deve :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 xml:space="preserve">Apresentar documentos que evidenciem a participação do colegiado – Pareceres, Resoluções, Apreciações e/ou Atas. 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overflowPunct w:val="true"/>
        <w:bidi w:val="0"/>
        <w:spacing w:lineRule="auto" w:line="360" w:before="0" w:after="0"/>
        <w:jc w:val="both"/>
        <w:rPr/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 xml:space="preserve">Orientações do </w:t>
      </w:r>
      <w:r>
        <w:rPr>
          <w:rFonts w:eastAsia="Droid Sans Fallback" w:cs="Times New Roman" w:ascii="Arial" w:hAnsi="Arial"/>
          <w:b w:val="false"/>
          <w:bCs w:val="false"/>
          <w:color w:val="000000"/>
          <w:kern w:val="0"/>
          <w:sz w:val="22"/>
          <w:szCs w:val="22"/>
          <w:lang w:val="pt-BR" w:eastAsia="zh-CN" w:bidi="hi-IN"/>
        </w:rPr>
        <w:t>Sistema</w:t>
      </w: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 xml:space="preserve"> Estadual de Educação para cumprimento da condicionalidade. 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20" w:hanging="0"/>
        <w:jc w:val="both"/>
        <w:rPr>
          <w:rFonts w:ascii="Arial" w:hAnsi="Arial" w:cs="Times New Roman"/>
          <w:b w:val="false"/>
          <w:b w:val="false"/>
          <w:bCs w:val="false"/>
          <w:color w:val="000000"/>
          <w:kern w:val="0"/>
          <w:sz w:val="22"/>
          <w:szCs w:val="22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</w:r>
    </w:p>
    <w:p>
      <w:pPr>
        <w:pStyle w:val="Normal"/>
        <w:widowControl w:val="false"/>
        <w:suppressAutoHyphens w:val="false"/>
        <w:overflowPunct w:val="true"/>
        <w:bidi w:val="0"/>
        <w:spacing w:lineRule="auto" w:line="360" w:before="0" w:after="0"/>
        <w:jc w:val="both"/>
        <w:rPr>
          <w:rFonts w:ascii="Arial" w:hAnsi="Arial" w:cs="Times New Roman"/>
          <w:b w:val="false"/>
          <w:b w:val="false"/>
          <w:bCs w:val="false"/>
          <w:color w:val="000000"/>
          <w:kern w:val="0"/>
          <w:sz w:val="22"/>
          <w:szCs w:val="22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20" w:hanging="0"/>
        <w:jc w:val="both"/>
        <w:rPr/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 xml:space="preserve">B. </w:t>
      </w:r>
      <w:r>
        <w:rPr>
          <w:rFonts w:cs="Times New Roman" w:ascii="Arial" w:hAnsi="Arial"/>
          <w:color w:val="000000"/>
          <w:kern w:val="0"/>
          <w:sz w:val="22"/>
          <w:szCs w:val="22"/>
        </w:rPr>
        <w:t xml:space="preserve">Aprovação dos </w:t>
      </w:r>
      <w:r>
        <w:rPr>
          <w:rStyle w:val="Nfaseforte"/>
          <w:rFonts w:eastAsia="Times New Roman" w:cs="Times New Roman" w:ascii="Arial" w:hAnsi="Arial"/>
          <w:sz w:val="22"/>
          <w:szCs w:val="22"/>
          <w:lang w:eastAsia="pt-BR"/>
        </w:rPr>
        <w:t>referenciais curriculares alinhados à Base Nacional Comum Curricular (BNCC)</w:t>
      </w:r>
      <w:r>
        <w:rPr>
          <w:rStyle w:val="Nfaseforte"/>
          <w:rFonts w:eastAsia="Times New Roman" w:cs="Times New Roman" w:ascii="Arial" w:hAnsi="Arial"/>
          <w:b w:val="false"/>
          <w:bCs w:val="false"/>
          <w:sz w:val="22"/>
          <w:szCs w:val="22"/>
          <w:lang w:eastAsia="pt-BR"/>
        </w:rPr>
        <w:t>.</w:t>
      </w:r>
    </w:p>
    <w:p>
      <w:pPr>
        <w:pStyle w:val="Normal"/>
        <w:widowControl w:val="false"/>
        <w:numPr>
          <w:ilvl w:val="0"/>
          <w:numId w:val="2"/>
        </w:numPr>
        <w:suppressAutoHyphens w:val="false"/>
        <w:overflowPunct w:val="true"/>
        <w:bidi w:val="0"/>
        <w:spacing w:lineRule="auto" w:line="360" w:before="0" w:after="0"/>
        <w:jc w:val="both"/>
        <w:rPr>
          <w:rStyle w:val="Nfaseforte"/>
          <w:rFonts w:ascii="Arial" w:hAnsi="Arial" w:eastAsia="Times New Roman" w:cs="Times New Roman"/>
          <w:b w:val="false"/>
          <w:b w:val="false"/>
          <w:bCs w:val="false"/>
          <w:sz w:val="22"/>
          <w:szCs w:val="22"/>
          <w:lang w:eastAsia="pt-BR"/>
        </w:rPr>
      </w:pPr>
      <w:r>
        <w:rPr>
          <w:rFonts w:eastAsia="Times New Roman" w:cs="Times New Roman" w:ascii="Arial" w:hAnsi="Arial"/>
          <w:b w:val="false"/>
          <w:bCs w:val="false"/>
          <w:sz w:val="22"/>
          <w:szCs w:val="22"/>
          <w:lang w:eastAsia="pt-BR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20" w:hanging="0"/>
        <w:jc w:val="both"/>
        <w:rPr>
          <w:b w:val="false"/>
          <w:b w:val="false"/>
          <w:bCs w:val="false"/>
        </w:rPr>
      </w:pPr>
      <w:r>
        <w:rPr>
          <w:rStyle w:val="Nfaseforte"/>
          <w:rFonts w:eastAsia="Times New Roman" w:cs="Times New Roman" w:ascii="Arial" w:hAnsi="Arial"/>
          <w:b/>
          <w:bCs/>
          <w:color w:val="000000"/>
          <w:kern w:val="0"/>
          <w:sz w:val="22"/>
          <w:szCs w:val="22"/>
          <w:lang w:eastAsia="pt-BR"/>
        </w:rPr>
        <w:t>Municípios que possuem Sistema de Ensino Próprio:</w:t>
      </w:r>
    </w:p>
    <w:p>
      <w:pPr>
        <w:pStyle w:val="Normal"/>
        <w:widowControl w:val="false"/>
        <w:numPr>
          <w:ilvl w:val="0"/>
          <w:numId w:val="4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Documento comprobatório de análise e homologação do Referencial Curricular da Municipal;</w:t>
      </w:r>
    </w:p>
    <w:p>
      <w:pPr>
        <w:pStyle w:val="Normal"/>
        <w:widowControl w:val="false"/>
        <w:numPr>
          <w:ilvl w:val="0"/>
          <w:numId w:val="4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 xml:space="preserve">Apresentar documentos que evidenciem a participação do colegiado na apreciação do Referencial Curricular da Rede de Ensino– Pareceres, Resoluções, Apreciações e/ou Atas. </w:t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20" w:hanging="0"/>
        <w:jc w:val="both"/>
        <w:rPr>
          <w:rFonts w:ascii="Arial" w:hAnsi="Arial" w:cs="Times New Roman"/>
          <w:b/>
          <w:b/>
          <w:bCs/>
          <w:color w:val="000000"/>
          <w:kern w:val="0"/>
          <w:sz w:val="22"/>
          <w:szCs w:val="22"/>
        </w:rPr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false"/>
        <w:overflowPunct w:val="true"/>
        <w:bidi w:val="0"/>
        <w:spacing w:lineRule="auto" w:line="360" w:before="0" w:after="0"/>
        <w:ind w:left="720" w:hanging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/>
          <w:bCs/>
          <w:color w:val="000000"/>
          <w:kern w:val="0"/>
          <w:sz w:val="22"/>
          <w:szCs w:val="22"/>
        </w:rPr>
        <w:t>Municípios que não possuem Sistema de Ensino Próprio</w:t>
      </w: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>, o Conselho Municipal de Educação deve :</w:t>
      </w:r>
    </w:p>
    <w:p>
      <w:pPr>
        <w:pStyle w:val="Normal"/>
        <w:widowControl w:val="false"/>
        <w:numPr>
          <w:ilvl w:val="0"/>
          <w:numId w:val="4"/>
        </w:numPr>
        <w:suppressAutoHyphens w:val="false"/>
        <w:overflowPunct w:val="true"/>
        <w:bidi w:val="0"/>
        <w:spacing w:lineRule="auto" w:line="360" w:before="0" w:after="0"/>
        <w:jc w:val="both"/>
        <w:rPr>
          <w:b w:val="false"/>
          <w:b w:val="false"/>
          <w:bCs w:val="false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 xml:space="preserve">Apresentar documentos que evidenciem a participação do colegiado na apreciação do Referencial Curricular da Rede de Ensino– Pareceres, Resoluções, Apreciações e/ou Atas. </w:t>
      </w:r>
    </w:p>
    <w:p>
      <w:pPr>
        <w:pStyle w:val="Normal"/>
        <w:widowControl w:val="false"/>
        <w:numPr>
          <w:ilvl w:val="0"/>
          <w:numId w:val="4"/>
        </w:numPr>
        <w:suppressAutoHyphens w:val="false"/>
        <w:overflowPunct w:val="true"/>
        <w:bidi w:val="0"/>
        <w:spacing w:lineRule="auto" w:line="360" w:before="0" w:after="0"/>
        <w:jc w:val="both"/>
        <w:textAlignment w:val="baseline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 xml:space="preserve">Orientações do </w:t>
      </w:r>
      <w:r>
        <w:rPr>
          <w:rFonts w:eastAsia="Droid Sans Fallback" w:cs="Times New Roman" w:ascii="Arial" w:hAnsi="Arial"/>
          <w:b w:val="false"/>
          <w:bCs w:val="false"/>
          <w:color w:val="000000"/>
          <w:kern w:val="0"/>
          <w:sz w:val="22"/>
          <w:szCs w:val="22"/>
          <w:lang w:val="pt-BR" w:eastAsia="zh-CN" w:bidi="hi-IN"/>
        </w:rPr>
        <w:t>Sistema</w:t>
      </w:r>
      <w:r>
        <w:rPr>
          <w:rFonts w:cs="Times New Roman" w:ascii="Arial" w:hAnsi="Arial"/>
          <w:b w:val="false"/>
          <w:bCs w:val="false"/>
          <w:color w:val="000000"/>
          <w:kern w:val="0"/>
          <w:sz w:val="22"/>
          <w:szCs w:val="22"/>
        </w:rPr>
        <w:t xml:space="preserve"> Estadual de Educação para cumprimento da condicionalidade. </w:t>
      </w:r>
    </w:p>
    <w:p>
      <w:pPr>
        <w:pStyle w:val="Normal"/>
        <w:widowControl w:val="false"/>
        <w:numPr>
          <w:ilvl w:val="0"/>
          <w:numId w:val="1"/>
        </w:numPr>
        <w:suppressAutoHyphens w:val="false"/>
        <w:overflowPunct w:val="true"/>
        <w:bidi w:val="0"/>
        <w:spacing w:lineRule="auto" w:line="360" w:before="0" w:after="0"/>
        <w:jc w:val="both"/>
        <w:textAlignment w:val="baseline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9.</w:t>
        <w:tab/>
        <w:tab/>
        <w:t>No ensejo, renovamos votos de estima e consideração.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ab/>
        <w:tab/>
        <w:t>Atenciosamente,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Times New Roman"/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</w:r>
    </w:p>
    <w:p>
      <w:pPr>
        <w:pStyle w:val="PargrafodaLista"/>
        <w:numPr>
          <w:ilvl w:val="0"/>
          <w:numId w:val="1"/>
        </w:numPr>
        <w:spacing w:lineRule="auto" w:line="240" w:before="0" w:after="0"/>
        <w:ind w:left="1077" w:right="0" w:hanging="0"/>
        <w:jc w:val="center"/>
        <w:rPr>
          <w:rFonts w:ascii="Arial" w:hAnsi="Arial" w:eastAsia="Times New Roman" w:cs="Times New Roman"/>
          <w:color w:val="000000"/>
          <w:kern w:val="0"/>
          <w:sz w:val="22"/>
          <w:szCs w:val="22"/>
          <w:highlight w:val="yellow"/>
        </w:rPr>
      </w:pPr>
      <w:r>
        <w:rPr>
          <w:rFonts w:eastAsia="Times New Roman" w:cs="Times New Roman" w:ascii="Arial" w:hAnsi="Arial"/>
          <w:color w:val="000000"/>
          <w:kern w:val="0"/>
          <w:sz w:val="22"/>
          <w:szCs w:val="22"/>
          <w:highlight w:val="yellow"/>
        </w:rPr>
        <w:t>*******, **, de *******, de 202*.</w:t>
      </w:r>
    </w:p>
    <w:p>
      <w:pPr>
        <w:pStyle w:val="PargrafodaLista"/>
        <w:numPr>
          <w:ilvl w:val="0"/>
          <w:numId w:val="1"/>
        </w:numPr>
        <w:spacing w:lineRule="auto" w:line="240" w:before="0" w:after="0"/>
        <w:ind w:left="0" w:right="0" w:hanging="0"/>
        <w:rPr>
          <w:rFonts w:ascii="Arial" w:hAnsi="Arial" w:eastAsia="Times New Roman" w:cs="Times New Roman"/>
          <w:b/>
          <w:b/>
          <w:bCs/>
          <w:color w:val="000000"/>
          <w:kern w:val="0"/>
          <w:sz w:val="22"/>
          <w:szCs w:val="22"/>
        </w:rPr>
      </w:pP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</w:rPr>
      </w:r>
    </w:p>
    <w:p>
      <w:pPr>
        <w:pStyle w:val="PargrafodaLista"/>
        <w:numPr>
          <w:ilvl w:val="0"/>
          <w:numId w:val="1"/>
        </w:numPr>
        <w:spacing w:lineRule="auto" w:line="240" w:before="0" w:after="0"/>
        <w:ind w:left="0" w:right="0" w:hanging="0"/>
        <w:jc w:val="center"/>
        <w:rPr>
          <w:rFonts w:ascii="Arial" w:hAnsi="Arial" w:eastAsia="Times New Roman" w:cs="Times New Roman"/>
          <w:b/>
          <w:b/>
          <w:bCs/>
          <w:color w:val="000000"/>
          <w:kern w:val="0"/>
          <w:sz w:val="22"/>
          <w:szCs w:val="22"/>
        </w:rPr>
      </w:pP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</w:rPr>
      </w:r>
    </w:p>
    <w:p>
      <w:pPr>
        <w:pStyle w:val="PargrafodaLista"/>
        <w:numPr>
          <w:ilvl w:val="0"/>
          <w:numId w:val="1"/>
        </w:numPr>
        <w:spacing w:lineRule="auto" w:line="240" w:before="0" w:after="0"/>
        <w:ind w:left="0" w:right="0" w:hanging="0"/>
        <w:jc w:val="center"/>
        <w:rPr>
          <w:rFonts w:ascii="Arial" w:hAnsi="Arial" w:eastAsia="Times New Roman" w:cs="Times New Roman"/>
          <w:b/>
          <w:b/>
          <w:bCs/>
          <w:color w:val="000000"/>
          <w:kern w:val="0"/>
          <w:sz w:val="22"/>
          <w:szCs w:val="22"/>
          <w:highlight w:val="yellow"/>
        </w:rPr>
      </w:pP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  <w:highlight w:val="yellow"/>
        </w:rPr>
        <w:t xml:space="preserve">********* </w:t>
      </w:r>
    </w:p>
    <w:p>
      <w:pPr>
        <w:pStyle w:val="PargrafodaLista"/>
        <w:numPr>
          <w:ilvl w:val="0"/>
          <w:numId w:val="1"/>
        </w:numPr>
        <w:spacing w:lineRule="auto" w:line="240" w:before="0" w:after="0"/>
        <w:ind w:left="0" w:right="0" w:hanging="0"/>
        <w:jc w:val="center"/>
        <w:rPr>
          <w:rFonts w:ascii="Arial" w:hAnsi="Arial" w:eastAsia="Times New Roman" w:cs="Times New Roman"/>
          <w:b/>
          <w:b/>
          <w:bCs/>
          <w:color w:val="000000"/>
          <w:kern w:val="0"/>
          <w:sz w:val="22"/>
          <w:szCs w:val="22"/>
        </w:rPr>
      </w:pP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</w:rPr>
        <w:t>Promotor(a) de Justiça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cs="Times New Roman"/>
          <w:b/>
          <w:b/>
          <w:bCs/>
          <w:color w:val="000000"/>
          <w:sz w:val="22"/>
          <w:szCs w:val="22"/>
        </w:rPr>
      </w:pPr>
      <w:r>
        <w:rPr>
          <w:rFonts w:cs="Times New Roman" w:ascii="Arial" w:hAnsi="Arial"/>
          <w:b/>
          <w:bCs/>
          <w:color w:val="000000"/>
          <w:sz w:val="22"/>
          <w:szCs w:val="22"/>
        </w:rPr>
      </w:r>
    </w:p>
    <w:p>
      <w:pPr>
        <w:pStyle w:val="Ttulo2"/>
        <w:numPr>
          <w:ilvl w:val="1"/>
          <w:numId w:val="1"/>
        </w:numPr>
        <w:tabs>
          <w:tab w:val="clear" w:pos="709"/>
          <w:tab w:val="left" w:pos="0" w:leader="none"/>
          <w:tab w:val="left" w:pos="708" w:leader="none"/>
        </w:tabs>
        <w:spacing w:lineRule="auto" w:line="240" w:before="0" w:after="0"/>
        <w:ind w:left="0" w:right="0" w:hanging="0"/>
        <w:rPr>
          <w:rStyle w:val="Fontepargpadro"/>
          <w:rFonts w:ascii="Arial" w:hAnsi="Arial" w:eastAsia="BAAAAA+ArialMT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  <w:lang w:val="pt-BR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75" w:right="1131" w:gutter="0" w:header="1134" w:top="1815" w:footer="235" w:bottom="1306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mc:AlternateContent>
        <mc:Choice Requires="wps">
          <w:drawing>
            <wp:anchor behindDoc="1" distT="13970" distB="13970" distL="13970" distR="13970" simplePos="0" locked="0" layoutInCell="0" allowOverlap="1" relativeHeight="4">
              <wp:simplePos x="0" y="0"/>
              <wp:positionH relativeFrom="column">
                <wp:posOffset>-262890</wp:posOffset>
              </wp:positionH>
              <wp:positionV relativeFrom="paragraph">
                <wp:posOffset>120650</wp:posOffset>
              </wp:positionV>
              <wp:extent cx="6537325" cy="6985"/>
              <wp:effectExtent l="0" t="0" r="0" b="0"/>
              <wp:wrapNone/>
              <wp:docPr id="3" name="Form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36520" cy="6480"/>
                      </a:xfrm>
                      <a:prstGeom prst="line">
                        <a:avLst/>
                      </a:prstGeom>
                      <a:ln w="2844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0.7pt,9.5pt" to="493.95pt,9.95pt" ID="Forma2" stroked="t" o:allowincell="f" style="position:absolute;flip:y">
              <v:stroke color="#3465a4" weight="2844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Rodap"/>
      <w:widowControl w:val="false"/>
      <w:overflowPunct w:val="true"/>
      <w:bidi w:val="0"/>
      <w:spacing w:lineRule="auto" w:line="240"/>
      <w:ind w:left="-454" w:right="0" w:hanging="0"/>
      <w:jc w:val="center"/>
      <w:rPr>
        <w:rFonts w:ascii="Calibri" w:hAnsi="Calibri" w:eastAsia="Times New Roman" w:cs="Comic Sans MS"/>
        <w:b w:val="false"/>
        <w:b w:val="false"/>
        <w:bCs w:val="false"/>
        <w:i w:val="false"/>
        <w:i w:val="false"/>
        <w:iCs w:val="false"/>
        <w:color w:val="00000A"/>
        <w:sz w:val="18"/>
        <w:szCs w:val="18"/>
        <w:highlight w:val="yellow"/>
        <w:u w:val="none"/>
        <w:lang w:val="pt-BR" w:eastAsia="zxx" w:bidi="ar-SA"/>
      </w:rPr>
    </w:pPr>
    <w:r>
      <w:rPr>
        <w:rFonts w:eastAsia="Times New Roman" w:cs="Comic Sans MS" w:ascii="Calibri" w:hAnsi="Calibri"/>
        <w:b w:val="false"/>
        <w:bCs w:val="false"/>
        <w:i w:val="false"/>
        <w:iCs w:val="false"/>
        <w:color w:val="00000A"/>
        <w:sz w:val="18"/>
        <w:szCs w:val="18"/>
        <w:highlight w:val="yellow"/>
        <w:u w:val="none"/>
        <w:lang w:val="pt-BR" w:eastAsia="zxx" w:bidi="ar-SA"/>
      </w:rPr>
      <w:t>Endereço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3930" w:leader="none"/>
        <w:tab w:val="center" w:pos="4819" w:leader="none"/>
        <w:tab w:val="right" w:pos="9638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2419985</wp:posOffset>
          </wp:positionH>
          <wp:positionV relativeFrom="paragraph">
            <wp:posOffset>-382270</wp:posOffset>
          </wp:positionV>
          <wp:extent cx="1369060" cy="652145"/>
          <wp:effectExtent l="0" t="0" r="0" b="0"/>
          <wp:wrapSquare wrapText="bothSides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23" r="-11" b="-23"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Calibri" w:hAnsi="Calibri" w:eastAsia="Times New Roman" w:cs="Comic Sans MS"/>
        <w:b w:val="false"/>
        <w:b w:val="false"/>
        <w:bCs w:val="false"/>
        <w:i w:val="false"/>
        <w:i w:val="false"/>
        <w:iCs w:val="false"/>
        <w:color w:val="00000A"/>
        <w:sz w:val="20"/>
        <w:szCs w:val="20"/>
        <w:u w:val="none"/>
        <w:lang w:val="pt-BR" w:eastAsia="zxx" w:bidi="ar-SA"/>
      </w:rPr>
    </w:pPr>
    <w:r>
      <w:rPr>
        <w:rFonts w:eastAsia="Times New Roman" w:cs="Comic Sans MS" w:ascii="Calibri" w:hAnsi="Calibri"/>
        <w:b w:val="false"/>
        <w:bCs w:val="false"/>
        <w:i w:val="false"/>
        <w:iCs w:val="false"/>
        <w:color w:val="00000A"/>
        <w:sz w:val="20"/>
        <w:szCs w:val="20"/>
        <w:u w:val="none"/>
        <w:lang w:val="pt-BR" w:eastAsia="zxx" w:bidi="ar-SA"/>
      </w:rPr>
      <mc:AlternateContent>
        <mc:Choice Requires="wps">
          <w:drawing>
            <wp:anchor behindDoc="1" distT="13970" distB="13970" distL="13970" distR="13970" simplePos="0" locked="0" layoutInCell="0" allowOverlap="1" relativeHeight="7">
              <wp:simplePos x="0" y="0"/>
              <wp:positionH relativeFrom="column">
                <wp:posOffset>-196850</wp:posOffset>
              </wp:positionH>
              <wp:positionV relativeFrom="paragraph">
                <wp:posOffset>187325</wp:posOffset>
              </wp:positionV>
              <wp:extent cx="6537325" cy="6985"/>
              <wp:effectExtent l="0" t="0" r="0" b="0"/>
              <wp:wrapNone/>
              <wp:docPr id="2" name="Forma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36520" cy="6480"/>
                      </a:xfrm>
                      <a:prstGeom prst="line">
                        <a:avLst/>
                      </a:prstGeom>
                      <a:ln w="28440">
                        <a:solidFill>
                          <a:srgbClr val="3465a4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5.5pt,14.75pt" to="499.15pt,15.2pt" ID="Forma2_0" stroked="t" o:allowincell="f" style="position:absolute;flip:y">
              <v:stroke color="#3465a4" weight="2844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Arial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roid Sans Fallback" w:cs="Lohit Hindi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Ttulo5">
    <w:name w:val="Heading 5"/>
    <w:basedOn w:val="Ttulo"/>
    <w:qFormat/>
    <w:pPr/>
    <w:rPr/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Character20style">
    <w:name w:val="Character_20_style"/>
    <w:qFormat/>
    <w:rPr/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WW8Num2z0">
    <w:name w:val="WW8Num2z0"/>
    <w:qFormat/>
    <w:rPr>
      <w:rFonts w:ascii="Times New Roman" w:hAnsi="Times New Roman" w:eastAsia="Times New Roman" w:cs="Times New Roman"/>
      <w:b/>
      <w:bCs w:val="false"/>
      <w:kern w:val="0"/>
      <w:sz w:val="24"/>
      <w:szCs w:val="24"/>
      <w:lang w:eastAsia="pt-BR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>
      <w:rFonts w:cs="Arial"/>
    </w:rPr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bCs w:val="false"/>
      <w:sz w:val="24"/>
      <w:szCs w:val="24"/>
      <w:lang w:eastAsia="pt-BR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rte1">
    <w:name w:val="Forte1"/>
    <w:qFormat/>
    <w:rPr>
      <w:b/>
      <w:bCs/>
    </w:rPr>
  </w:style>
  <w:style w:type="character" w:styleId="Fontepargpadro5">
    <w:name w:val="Fonte parág. padrão5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rFonts w:ascii="Times New Roman" w:hAnsi="Times New Roman" w:eastAsia="SimSun;宋体" w:cs="Times New Roman"/>
      <w:b w:val="false"/>
      <w:bCs w:val="false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qFormat/>
    <w:pPr>
      <w:spacing w:before="60" w:after="120"/>
      <w:jc w:val="center"/>
    </w:pPr>
    <w:rPr>
      <w:sz w:val="36"/>
      <w:szCs w:val="36"/>
    </w:rPr>
  </w:style>
  <w:style w:type="paragraph" w:styleId="Contedodatabela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ntedodoquadro">
    <w:name w:val="Conteúdo do quadro"/>
    <w:basedOn w:val="Normal"/>
    <w:qFormat/>
    <w:pPr/>
    <w:rPr/>
  </w:style>
  <w:style w:type="paragraph" w:styleId="Notaderodap">
    <w:name w:val="Footnote Text"/>
    <w:basedOn w:val="Normal"/>
    <w:pPr/>
    <w:rPr/>
  </w:style>
  <w:style w:type="paragraph" w:styleId="EndnoteSymbol">
    <w:name w:val="Endnote Symbol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ans CJK SC Regular" w:cs="Lohit Hindi"/>
      <w:color w:val="00000A"/>
      <w:kern w:val="2"/>
      <w:sz w:val="20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4"/>
      <w:szCs w:val="24"/>
      <w:lang w:val="pt-BR" w:eastAsia="zh-CN" w:bidi="hi-IN"/>
    </w:rPr>
  </w:style>
  <w:style w:type="paragraph" w:styleId="PargrafodaLista">
    <w:name w:val="Parágrafo da Lista"/>
    <w:basedOn w:val="Normal"/>
    <w:qFormat/>
    <w:pPr>
      <w:ind w:left="720" w:right="0" w:hanging="0"/>
    </w:pPr>
    <w:rPr/>
  </w:style>
  <w:style w:type="numbering" w:styleId="WW8Num2">
    <w:name w:val="WW8Num2"/>
    <w:qFormat/>
  </w:style>
  <w:style w:type="numbering" w:styleId="WW8Num4">
    <w:name w:val="WW8Num4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12964</TotalTime>
  <Application>LibreOffice/7.2.6.2$Windows_X86_64 LibreOffice_project/b0ec3a565991f7569a5a7f5d24fed7f52653d754</Application>
  <AppVersion>15.0000</AppVersion>
  <Pages>3</Pages>
  <Words>865</Words>
  <Characters>5008</Characters>
  <CharactersWithSpaces>5845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2017-03-20T14:39:43Z</dcterms:created>
  <dc:creator/>
  <dc:description/>
  <dc:language>pt-BR</dc:language>
  <cp:lastModifiedBy/>
  <cp:lastPrinted>2021-07-08T16:56:53Z</cp:lastPrinted>
  <dcterms:modified xsi:type="dcterms:W3CDTF">2023-08-15T15:30:24Z</dcterms:modified>
  <cp:revision>116</cp:revision>
  <dc:subject/>
  <dc:title/>
</cp:coreProperties>
</file>