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MPCE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  <w:t>Trata-se de representação eleitoral oferecida pelo Ministério Público Eleitoral por suposta doação acima do limite legal permitido em desfavor de ______________.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/>
      </w:pPr>
      <w:r>
        <w:rPr>
          <w:rFonts w:eastAsia="Lucida Sans Unicode" w:cs="Cambria" w:ascii="Cambria" w:hAnsi="Cambria"/>
          <w:sz w:val="24"/>
          <w:szCs w:val="24"/>
          <w:lang w:bidi="zxx"/>
        </w:rPr>
        <w:t>Defesa do representado às fls. ____, na qual sustenta a não ocorrência da doação ilegal, porquanto o montante da doação em valor estimável em dinheiro poderia ser de até R$ 80.000,00, segundo o artigo 23, § 7º, da Lei nº 9.504/97.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/>
      </w:pPr>
      <w:r>
        <w:rPr>
          <w:rFonts w:eastAsia="Lucida Sans Unicode" w:cs="Cambria" w:ascii="Cambria" w:hAnsi="Cambria"/>
          <w:sz w:val="24"/>
          <w:szCs w:val="24"/>
          <w:lang w:bidi="zxx"/>
        </w:rPr>
        <w:t>Juntada das declarações advindas da Receita Federal.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/>
      </w:pPr>
      <w:r>
        <w:rPr>
          <w:rFonts w:eastAsia="Lucida Sans Unicode" w:cs="Cambria" w:ascii="Cambria" w:hAnsi="Cambria"/>
          <w:sz w:val="24"/>
          <w:szCs w:val="24"/>
          <w:lang w:bidi="zxx"/>
        </w:rPr>
        <w:t xml:space="preserve">Foi aberto prazo para oferecimento de </w:t>
      </w:r>
      <w:r>
        <w:rPr>
          <w:rFonts w:eastAsia="Lucida Sans Unicode" w:cs="Cambria" w:ascii="Cambria" w:hAnsi="Cambria"/>
          <w:b/>
          <w:bCs/>
          <w:sz w:val="24"/>
          <w:szCs w:val="24"/>
          <w:lang w:bidi="zxx"/>
        </w:rPr>
        <w:t>alegações finais</w:t>
      </w:r>
      <w:r>
        <w:rPr>
          <w:rFonts w:eastAsia="Lucida Sans Unicode" w:cs="Cambria" w:ascii="Cambria" w:hAnsi="Cambria"/>
          <w:sz w:val="24"/>
          <w:szCs w:val="24"/>
          <w:lang w:bidi="zxx"/>
        </w:rPr>
        <w:t>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b/>
          <w:b/>
          <w:bCs/>
          <w:sz w:val="24"/>
          <w:szCs w:val="24"/>
          <w:lang w:bidi="zxx"/>
        </w:rPr>
      </w:pPr>
      <w:r>
        <w:rPr>
          <w:rFonts w:eastAsia="Lucida Sans Unicode" w:cs="Cambria" w:ascii="Cambria" w:hAnsi="Cambria"/>
          <w:b/>
          <w:bCs/>
          <w:sz w:val="24"/>
          <w:szCs w:val="24"/>
          <w:lang w:bidi="zxx"/>
        </w:rPr>
        <w:t>É o breve relatório.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b/>
          <w:b/>
          <w:bCs/>
          <w:sz w:val="24"/>
          <w:szCs w:val="24"/>
          <w:lang w:bidi="zxx"/>
        </w:rPr>
      </w:pPr>
      <w:r>
        <w:rPr>
          <w:rFonts w:eastAsia="Lucida Sans Unicode" w:cs="Cambria" w:ascii="Cambria" w:hAnsi="Cambria"/>
          <w:b/>
          <w:bCs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  <w:t>A representação deve ser julgada procedente. Senão, vejamos.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/>
      </w:pPr>
      <w:r>
        <w:rPr>
          <w:rFonts w:eastAsia="Lucida Sans Unicode" w:cs="Cambria" w:ascii="Cambria" w:hAnsi="Cambria"/>
          <w:sz w:val="24"/>
          <w:szCs w:val="24"/>
          <w:lang w:bidi="zxx"/>
        </w:rPr>
        <w:t xml:space="preserve">O limite de R$ 80.000,00 aventado pelo representado somente diz respeito </w:t>
      </w:r>
      <w:r>
        <w:rPr>
          <w:rFonts w:eastAsia="Lucida Sans Unicode" w:cs="Cambria" w:ascii="Cambria" w:hAnsi="Cambria"/>
          <w:b/>
          <w:bCs/>
          <w:sz w:val="24"/>
          <w:szCs w:val="24"/>
          <w:lang w:bidi="zxx"/>
        </w:rPr>
        <w:t>a doações estimáveis em dinheiro relativas à utilização de bens móveis ou imóveis de propriedade do doador</w:t>
      </w:r>
      <w:r>
        <w:rPr>
          <w:rFonts w:eastAsia="Lucida Sans Unicode" w:cs="Cambria" w:ascii="Cambria" w:hAnsi="Cambria"/>
          <w:sz w:val="24"/>
          <w:szCs w:val="24"/>
          <w:lang w:bidi="zxx"/>
        </w:rPr>
        <w:t>, o que não é o caso dos autos.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  <w:t>Transcreve-se, por oportuno, o § 7º do artigo 23 da Lei nº 9.504/97: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  <w:shd w:fill="FFFFFF" w:val="clear"/>
        </w:rPr>
      </w:pPr>
      <w:r>
        <w:rPr>
          <w:rFonts w:cs="Cambria" w:ascii="Cambria" w:hAnsi="Cambria"/>
          <w:color w:val="000000"/>
          <w:sz w:val="22"/>
          <w:szCs w:val="22"/>
          <w:shd w:fill="FFFFFF" w:val="clear"/>
        </w:rPr>
        <w:t>Art. 23.  Pessoas físicas poderão fazer doações em dinheiro ou estimáveis em dinheiro para campanhas eleitorais, obedecido o disposto nesta Lei. 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  <w:shd w:fill="FFFFFF" w:val="clear"/>
        </w:rPr>
        <w:t>§ 1</w:t>
      </w:r>
      <w:r>
        <w:rPr>
          <w:rFonts w:cs="Cambria" w:ascii="Cambria" w:hAnsi="Cambria"/>
          <w:color w:val="000000"/>
          <w:position w:val="8"/>
          <w:sz w:val="22"/>
          <w:szCs w:val="22"/>
          <w:u w:val="single"/>
          <w:shd w:fill="FFFFFF" w:val="clear"/>
        </w:rPr>
        <w:t>o</w:t>
      </w:r>
      <w:r>
        <w:rPr>
          <w:rFonts w:cs="Cambria" w:ascii="Cambria" w:hAnsi="Cambria"/>
          <w:color w:val="000000"/>
          <w:sz w:val="22"/>
          <w:szCs w:val="22"/>
          <w:shd w:fill="FFFFFF" w:val="clear"/>
        </w:rPr>
        <w:t>  As doações e contribuições de que trata este artigo ficam limitadas a 10% (dez por cento) dos rendimentos brutos auferidos pelo doador no ano anterior à eleição.  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cs="Cambria"/>
          <w:color w:val="000000"/>
          <w:sz w:val="22"/>
          <w:szCs w:val="22"/>
          <w:shd w:fill="FFFFFF" w:val="clear"/>
        </w:rPr>
      </w:pPr>
      <w:r>
        <w:rPr>
          <w:rFonts w:cs="Cambria" w:ascii="Cambria" w:hAnsi="Cambria"/>
          <w:color w:val="000000"/>
          <w:sz w:val="22"/>
          <w:szCs w:val="22"/>
          <w:shd w:fill="FFFFFF" w:val="clear"/>
        </w:rPr>
        <w:t>(…)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/>
      </w:pPr>
      <w:r>
        <w:rPr>
          <w:rFonts w:cs="Cambria" w:ascii="Cambria" w:hAnsi="Cambria"/>
          <w:color w:val="000000"/>
          <w:sz w:val="22"/>
          <w:szCs w:val="22"/>
          <w:shd w:fill="FFFFFF" w:val="clear"/>
        </w:rPr>
        <w:t>§ 7</w:t>
      </w:r>
      <w:r>
        <w:rPr>
          <w:rFonts w:cs="Cambria" w:ascii="Cambria" w:hAnsi="Cambria"/>
          <w:color w:val="000000"/>
          <w:position w:val="8"/>
          <w:sz w:val="22"/>
          <w:szCs w:val="22"/>
          <w:u w:val="single"/>
          <w:shd w:fill="FFFFFF" w:val="clear"/>
        </w:rPr>
        <w:t>o</w:t>
      </w:r>
      <w:r>
        <w:rPr>
          <w:rFonts w:cs="Cambria" w:ascii="Cambria" w:hAnsi="Cambria"/>
          <w:color w:val="000000"/>
          <w:sz w:val="22"/>
          <w:szCs w:val="22"/>
          <w:shd w:fill="FFFFFF" w:val="clear"/>
        </w:rPr>
        <w:t xml:space="preserve"> O limite previsto no § 1</w:t>
      </w:r>
      <w:r>
        <w:rPr>
          <w:rFonts w:cs="Cambria" w:ascii="Cambria" w:hAnsi="Cambria"/>
          <w:color w:val="000000"/>
          <w:position w:val="8"/>
          <w:sz w:val="22"/>
          <w:szCs w:val="22"/>
          <w:u w:val="single"/>
          <w:shd w:fill="FFFFFF" w:val="clear"/>
        </w:rPr>
        <w:t>o</w:t>
      </w:r>
      <w:r>
        <w:rPr>
          <w:rFonts w:cs="Cambria" w:ascii="Cambria" w:hAnsi="Cambria"/>
          <w:color w:val="000000"/>
          <w:sz w:val="22"/>
          <w:szCs w:val="22"/>
          <w:shd w:fill="FFFFFF" w:val="clear"/>
        </w:rPr>
        <w:t> não se aplica a doações estimáveis em dinheiro relativas à utilização de bens móveis ou imóveis de propriedade do doador, desde que o valor estimado não ultrapasse R$ 80.000,00 (oitenta mil reais).  </w:t>
      </w:r>
    </w:p>
    <w:p>
      <w:pPr>
        <w:pStyle w:val="Normal"/>
        <w:spacing w:lineRule="auto" w:line="360"/>
        <w:ind w:left="1995" w:right="0" w:firstLine="855"/>
        <w:jc w:val="both"/>
        <w:rPr>
          <w:rFonts w:ascii="Cambria" w:hAnsi="Cambria" w:cs="Cambria"/>
          <w:sz w:val="24"/>
          <w:szCs w:val="24"/>
        </w:rPr>
      </w:pPr>
      <w:r>
        <w:rPr>
          <w:rFonts w:cs="Cambri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  <w:t>Ora, da intelecção do dispositivo acima destacados depreende-se facilmente que as doações estimáveis em dinheiro realizadas – que devem constituir produto de seu próprio serviço, de suas atividades econômicas e, no caso de bens permanentes, integrar o patrimônio do devedor – relativas à utilização de bens móveis ou imóveis de propriedade do doador poderão atingir o valor máximo de R$ 80.000,00.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b/>
          <w:b/>
          <w:bCs/>
          <w:sz w:val="24"/>
          <w:szCs w:val="24"/>
          <w:lang w:bidi="zxx"/>
        </w:rPr>
      </w:pPr>
      <w:r>
        <w:rPr>
          <w:rFonts w:eastAsia="Lucida Sans Unicode" w:cs="Cambria" w:ascii="Cambria" w:hAnsi="Cambria"/>
          <w:b/>
          <w:bCs/>
          <w:sz w:val="24"/>
          <w:szCs w:val="24"/>
          <w:lang w:bidi="zxx"/>
        </w:rPr>
        <w:t>Não é qualquer doação estimável em dinheiro que eleva o patamar para R$ 80.000,00, mas apenas aquelas relativas à utilização de bens móveis ou imóveis de propriedade do doador, o que não ocorreu.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b/>
          <w:b/>
          <w:bCs/>
          <w:sz w:val="24"/>
          <w:szCs w:val="24"/>
          <w:lang w:bidi="zxx"/>
        </w:rPr>
      </w:pPr>
      <w:r>
        <w:rPr>
          <w:rFonts w:eastAsia="Lucida Sans Unicode" w:cs="Cambria" w:ascii="Cambria" w:hAnsi="Cambria"/>
          <w:b/>
          <w:bCs/>
          <w:sz w:val="24"/>
          <w:szCs w:val="24"/>
          <w:lang w:bidi="zxx"/>
        </w:rPr>
      </w:r>
    </w:p>
    <w:p>
      <w:pPr>
        <w:pStyle w:val="Normal"/>
        <w:spacing w:lineRule="auto" w:line="360"/>
        <w:ind w:left="0" w:right="0" w:firstLine="1725"/>
        <w:jc w:val="both"/>
        <w:rPr/>
      </w:pPr>
      <w:r>
        <w:rPr>
          <w:rFonts w:eastAsia="Lucida Sans Unicode" w:cs="Cambria" w:ascii="Cambria" w:hAnsi="Cambria"/>
          <w:sz w:val="24"/>
          <w:szCs w:val="24"/>
          <w:lang w:bidi="zxx"/>
        </w:rPr>
        <w:t xml:space="preserve">Como ressaltado na inicial, o bem doado, qual seja _________________, não pertencia ao doador à época da doação, o que afasta a incidência da exceção legal prevista no artigo 23, § 7.º, da Lei Eleitoral. Conforme comprovado, após consulta ao DETRAN-TO, o veículo __________ estava em nome de _______________(fls. ___). </w:t>
      </w:r>
    </w:p>
    <w:p>
      <w:pPr>
        <w:pStyle w:val="Normal"/>
        <w:spacing w:lineRule="auto" w:line="360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spacing w:lineRule="auto" w:line="360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  <w:tab/>
        <w:tab/>
        <w:t>Apesar de já comprovadamente afastada a propriedade do bem, sobre o ônus da prova já se manifestou a Justiça Eleitoral: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Lucida Sans Unicode" w:cs="Cambria"/>
          <w:sz w:val="22"/>
          <w:szCs w:val="22"/>
          <w:lang w:bidi="zxx"/>
        </w:rPr>
      </w:pPr>
      <w:r>
        <w:rPr>
          <w:rFonts w:eastAsia="Lucida Sans Unicode" w:cs="Cambria" w:ascii="Cambria" w:hAnsi="Cambria"/>
          <w:sz w:val="22"/>
          <w:szCs w:val="22"/>
          <w:lang w:bidi="zxx"/>
        </w:rPr>
        <w:t>ELEIÇÕES 2014. RECURSO ELEITORAL. DOAÇÃO ACIMA LIMITE LEGAL. ESTIMÁVEL EM DINHEIRO. PESSOA FÍSICA.  EXCEÇÃO LEGAL. ÔNUS DA PROVA. DOADOR. MULTA. MÍNIMO LEGAL. RECURSO CONHECIDO E PROVIDO.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Lucida Sans Unicode" w:cs="Cambria"/>
          <w:sz w:val="22"/>
          <w:szCs w:val="22"/>
          <w:lang w:bidi="zxx"/>
        </w:rPr>
      </w:pPr>
      <w:r>
        <w:rPr>
          <w:rFonts w:eastAsia="Lucida Sans Unicode" w:cs="Cambria" w:ascii="Cambria" w:hAnsi="Cambria"/>
          <w:sz w:val="22"/>
          <w:szCs w:val="22"/>
          <w:lang w:bidi="zxx"/>
        </w:rPr>
        <w:t>1. Excetuam-se do limite legal as doações aquelas previstas no §7º do art. 23 da Lei 9.504/9, quais sejam, utilização de bens móveis e imóveis de propriedade do doador (e os serviços pessoais, em razão de entendimento jurisprudencial).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Lucida Sans Unicode" w:cs="Cambria"/>
          <w:sz w:val="22"/>
          <w:szCs w:val="22"/>
          <w:lang w:bidi="zxx"/>
        </w:rPr>
      </w:pPr>
      <w:r>
        <w:rPr>
          <w:rFonts w:eastAsia="Lucida Sans Unicode" w:cs="Cambria" w:ascii="Cambria" w:hAnsi="Cambria"/>
          <w:sz w:val="22"/>
          <w:szCs w:val="22"/>
          <w:lang w:bidi="zxx"/>
        </w:rPr>
        <w:t>2.  O ônus de provar a ocorrência da exceção legal, por ser de interesse do Representado, cabe à defesa, na Representação Eleitoral por Doação de Pessoa Física Acima do Limite legal, por força do artigo 333, inciso II, do CPC. Ausente essa prova, há de se analisar o valor excedente da doação, tendo em vista os rendimentos brutos do doador no ano-calendário anterior às eleições em que ocorreu a doação.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>
          <w:rFonts w:ascii="Cambria" w:hAnsi="Cambria" w:eastAsia="Lucida Sans Unicode" w:cs="Cambria"/>
          <w:sz w:val="22"/>
          <w:szCs w:val="22"/>
          <w:lang w:bidi="zxx"/>
        </w:rPr>
      </w:pPr>
      <w:r>
        <w:rPr>
          <w:rFonts w:eastAsia="Lucida Sans Unicode" w:cs="Cambria" w:ascii="Cambria" w:hAnsi="Cambria"/>
          <w:sz w:val="22"/>
          <w:szCs w:val="22"/>
          <w:lang w:bidi="zxx"/>
        </w:rPr>
        <w:t>3. Aplica-se no mínimo legal a sanção pecuniária do doador, tendo em vista as peculiaridades do caso.</w:t>
      </w:r>
    </w:p>
    <w:p>
      <w:pPr>
        <w:pStyle w:val="Normal"/>
        <w:widowControl/>
        <w:suppressAutoHyphens w:val="true"/>
        <w:bidi w:val="0"/>
        <w:spacing w:lineRule="auto" w:line="360"/>
        <w:ind w:left="2268" w:right="0" w:hanging="0"/>
        <w:jc w:val="both"/>
        <w:rPr/>
      </w:pPr>
      <w:r>
        <w:rPr>
          <w:rFonts w:eastAsia="Lucida Sans Unicode" w:cs="Cambria" w:ascii="Cambria" w:hAnsi="Cambria"/>
          <w:sz w:val="22"/>
          <w:szCs w:val="22"/>
          <w:lang w:bidi="zxx"/>
        </w:rPr>
        <w:t>(TRE-MT, Recurso Eleitoral n 10049, ACÓRDÃO n 25328 de 25/02/2016, Relator(a) PAULO CÉZAR ALVES SODRÉ, Publicação: DEJE - Diário de Justiça Eletrônico, Tomo 2093, Data 04/03/2016, Página 4 )</w:t>
      </w:r>
    </w:p>
    <w:p>
      <w:pPr>
        <w:pStyle w:val="Normal"/>
        <w:spacing w:lineRule="auto" w:line="360"/>
        <w:ind w:left="0" w:right="0" w:firstLine="1725"/>
        <w:jc w:val="both"/>
        <w:rPr>
          <w:rFonts w:ascii="Cambria" w:hAnsi="Cambria" w:eastAsia="Lucida Sans Unicode" w:cs="Cambria"/>
          <w:sz w:val="24"/>
          <w:szCs w:val="24"/>
          <w:lang w:bidi="zxx"/>
        </w:rPr>
      </w:pPr>
      <w:r>
        <w:rPr>
          <w:rFonts w:eastAsia="Lucida Sans Unicode" w:cs="Cambria" w:ascii="Cambria" w:hAnsi="Cambria"/>
          <w:sz w:val="24"/>
          <w:szCs w:val="24"/>
          <w:lang w:bidi="zxx"/>
        </w:rPr>
      </w:r>
    </w:p>
    <w:p>
      <w:pPr>
        <w:pStyle w:val="Normal"/>
        <w:tabs>
          <w:tab w:val="clear" w:pos="708"/>
          <w:tab w:val="left" w:pos="1373" w:leader="none"/>
        </w:tabs>
        <w:spacing w:lineRule="auto" w:line="360"/>
        <w:ind w:left="-45" w:right="0" w:firstLine="1740"/>
        <w:jc w:val="both"/>
        <w:rPr/>
      </w:pPr>
      <w:r>
        <w:rPr>
          <w:rFonts w:cs="Cambria" w:ascii="Cambria" w:hAnsi="Cambria"/>
          <w:b w:val="false"/>
          <w:bCs w:val="false"/>
          <w:sz w:val="24"/>
          <w:szCs w:val="24"/>
        </w:rPr>
        <w:t xml:space="preserve">Ante o exposto, manifesta-se o </w:t>
      </w:r>
      <w:r>
        <w:rPr>
          <w:rFonts w:cs="Cambria" w:ascii="Cambria" w:hAnsi="Cambria"/>
          <w:b/>
          <w:bCs/>
          <w:sz w:val="24"/>
          <w:szCs w:val="24"/>
        </w:rPr>
        <w:t>Ministério Público Eleitoral pela PROCEDÊNCIA da representação</w:t>
      </w:r>
      <w:r>
        <w:rPr>
          <w:rFonts w:cs="Cambria" w:ascii="Cambria" w:hAnsi="Cambria"/>
          <w:b w:val="false"/>
          <w:bCs w:val="false"/>
          <w:sz w:val="24"/>
          <w:szCs w:val="24"/>
        </w:rPr>
        <w:t xml:space="preserve">, para condenar o representado à sanção prevista no artigo 23, parágrafos 3º e 7º, da Lei nº 9.504/97, porquanto demonstrada a realização de doação acima do limite legal. </w:t>
      </w:r>
    </w:p>
    <w:p>
      <w:pPr>
        <w:pStyle w:val="Normal"/>
        <w:tabs>
          <w:tab w:val="clear" w:pos="708"/>
          <w:tab w:val="left" w:pos="1373" w:leader="none"/>
        </w:tabs>
        <w:spacing w:lineRule="auto" w:line="360"/>
        <w:ind w:left="-45" w:right="0" w:firstLine="174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ascii="Cambria" w:hAnsi="Cambria"/>
        </w:rPr>
      </w:r>
    </w:p>
    <w:p>
      <w:pPr>
        <w:pStyle w:val="Normal"/>
        <w:tabs>
          <w:tab w:val="clear" w:pos="708"/>
          <w:tab w:val="left" w:pos="1373" w:leader="none"/>
        </w:tabs>
        <w:spacing w:lineRule="auto" w:line="360"/>
        <w:ind w:left="-45" w:right="0" w:firstLine="174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Em virtude do disposto no artigo 1º, inciso I, alínea “p”, da Lei Complementar nº 64, de 1990, que prevê a inelegibilidade das pessoas físicas responsáveis por doações eleitorais tidas por ilegais por decisão transitada em julgado ou proferida por órgão colegiado da Justiça Eleitoral, pelo prazo de 8 (oito) anos após a decisão,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 xml:space="preserve">requer o Ministério Público que seja a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>anotação do teor da decisão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 xml:space="preserve"> feita </w:t>
      </w:r>
      <w:r>
        <w:rPr>
          <w:rFonts w:cs="Cambria" w:ascii="Cambria" w:hAnsi="Cambria"/>
          <w:b/>
          <w:bCs/>
          <w:color w:val="000000"/>
          <w:sz w:val="24"/>
          <w:szCs w:val="24"/>
        </w:rPr>
        <w:t xml:space="preserve">no cadastro eleitoral do representado, </w:t>
      </w:r>
      <w:r>
        <w:rPr>
          <w:rFonts w:cs="Cambria" w:ascii="Cambria" w:hAnsi="Cambria"/>
          <w:b w:val="false"/>
          <w:bCs w:val="false"/>
          <w:color w:val="000000"/>
          <w:sz w:val="24"/>
          <w:szCs w:val="24"/>
        </w:rPr>
        <w:t>após confirmação por Órgão Colegiado ou trânsito em julgado 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/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LibreOffice/7.2.6.2$Windows_X86_64 LibreOffice_project/b0ec3a565991f7569a5a7f5d24fed7f52653d754</Application>
  <AppVersion>15.0000</AppVersion>
  <Pages>4</Pages>
  <Words>710</Words>
  <Characters>3752</Characters>
  <CharactersWithSpaces>4449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2023-06-09T08:07:26Z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