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  <w:color w:val="C9211E"/>
        </w:rPr>
        <w:t>Peça MPTO - Célem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</w:rPr>
        <w:t>Inquérito Policial: XXX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Cs w:val="24"/>
          <w:u w:val="single"/>
        </w:rPr>
        <w:t>PROMOÇÃO DE ARQUIVAMENTO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Trata-se de inquérito policial instaurado pela Autoridade Policial para apurar a existência do crime descrito no artigo 344 do Código Eleitoral supostamente praticado por XXXXX, em XX/XX/XXXX, na cidade de XXXXX/TO.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Apurou-se que XXXX, regularmente convocado para exercer a função de mesário nas eleições municipais de 2024, em 06/10/2024, na seção ___, pertencente à XX Zona Eleitoral, não compareceu para o fim de compor a Mesa Receptora de Votos.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Disso faz prova a Ata da Seção, subscrita por seus integrantes.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Na sequência, não apresentou qualquer justificativa, quedando-se inerte.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Ocorre, todavia, que apesar da tipificação formal do fato de recusar o serviço eleitoral sem justa causa, claramente levada a efeito por XXXX, o entendimento atual é o de que a conduta não constitui crime, porquanto prevista penalidade específica de natureza pecuniária na seara administrativa, no artigo 124 do Código Eleitoral, sem ressalva à possibilidade de punição também em âmbito penal.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Senão, vejamos: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2"/>
          <w:szCs w:val="22"/>
        </w:rPr>
        <w:t>TSE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2"/>
          <w:szCs w:val="22"/>
        </w:rPr>
        <w:t>1. A ausência de mesário no dia do pleito não caracteriza crime, mas infração administrativa, em razão do disposto no art. 124 do Código Eleitoral, que não contém ressalva quanto à possibilidade de cumulação com a reprimenda de natureza penal (HC nº 638/SP, Rel. Min. Marcelo Ribeiro, julgado em 28.4.2009, DJe de 21.5.2009).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 w:val="22"/>
          <w:szCs w:val="22"/>
        </w:rPr>
        <w:t xml:space="preserve">2. Aplica-se na espécie o princípio da intervenção mínima, norteador do poder punitivo do Estado, segundo o qual o Direito Penal tem caráter subsidiário em relação aos demais ramos do ordenamento jurídico, de modo que somente deverá ser invocado em </w:t>
      </w:r>
      <w:r>
        <w:rPr>
          <w:rFonts w:cs="Arial" w:ascii="Cambria" w:hAnsi="Cambria"/>
          <w:i/>
          <w:iCs/>
          <w:color w:val="000000"/>
          <w:sz w:val="22"/>
          <w:szCs w:val="22"/>
        </w:rPr>
        <w:t>ultima ratio</w:t>
      </w: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, quando os demais ramos não forem capazes de assegurar a proteção dos bens de maior relevância.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3. O incentivo à participação voluntária dos cidadãos nos trabalhos realizados no dia da votação, institucionalmente operacionalizado pelo Tribunal Superior Eleitoral por meio do Programa Mesário Voluntário, é desiderato que não se coaduna com a severidade de punição na esfera penal a mesário faltoso, especialmente diante da proporcional e razoável penalidade pecuniária aplicável aos termos estabelecidos no art. 124 do CE.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(Agravo de Instrumento nº 4184, Acórdão, Relator(a) Min. Tarcisio Vieira de Carvalho Neto, Publicação: DJe – Diário de justiça eletrônico, Tomo 033, Data 17/02/2020, Página 13/14)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TSE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O não comparecimento de mesário no dia da votação não configura o crime estabelecido no art. 344 do CE, pois prevista punição administrativa no art. 124 do referido diploma, o qual não contém ressalva quanto à possibilidade de cumulação com sanção de natureza penal.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/>
        </w:rPr>
      </w:pP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>(</w:t>
      </w:r>
      <w:r>
        <w:rPr>
          <w:rFonts w:cs="Arial" w:ascii="Cambria" w:hAnsi="Cambria"/>
          <w:i/>
          <w:iCs/>
          <w:color w:val="000000"/>
          <w:sz w:val="22"/>
          <w:szCs w:val="22"/>
        </w:rPr>
        <w:t>Habeas Corpus</w:t>
      </w:r>
      <w:r>
        <w:rPr>
          <w:rFonts w:cs="Arial" w:ascii="Cambria" w:hAnsi="Cambria"/>
          <w:i w:val="false"/>
          <w:iCs w:val="false"/>
          <w:color w:val="000000"/>
          <w:sz w:val="22"/>
          <w:szCs w:val="22"/>
        </w:rPr>
        <w:t xml:space="preserve"> nº 638, Acórdão, Relator(a) Min. Marcelo Henriques Ribeiro de Oliveira, Publicação: RJTSE - Revista de jurisprudência do TSE, Volume 20, Tomo 3, Data 28/04/2009, Página 16)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Assim sendo, verifica-se que foi sedimentado o entendimento no sentido da atipicidade material do artigo 344 do Código Eleitoral.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</w:rPr>
        <w:t>Ministério Público Eleitoral</w:t>
      </w:r>
      <w:r>
        <w:rPr>
          <w:rFonts w:cs="Arial" w:ascii="Cambria" w:hAnsi="Cambria"/>
          <w:b w:val="false"/>
          <w:bCs w:val="false"/>
          <w:color w:val="000000"/>
          <w:szCs w:val="24"/>
        </w:rPr>
        <w:t xml:space="preserve"> promove o </w:t>
      </w:r>
      <w:r>
        <w:rPr>
          <w:rFonts w:cs="Arial" w:ascii="Cambria" w:hAnsi="Cambria"/>
          <w:b/>
          <w:bCs/>
          <w:color w:val="000000"/>
          <w:szCs w:val="24"/>
        </w:rPr>
        <w:t>ARQUIVAMENTO</w:t>
      </w:r>
      <w:r>
        <w:rPr>
          <w:rFonts w:cs="Arial" w:ascii="Cambria" w:hAnsi="Cambria"/>
          <w:b w:val="false"/>
          <w:bCs w:val="false"/>
          <w:color w:val="000000"/>
          <w:szCs w:val="24"/>
        </w:rPr>
        <w:t xml:space="preserve"> do presente inquérito policial ante a </w:t>
      </w:r>
      <w:r>
        <w:rPr>
          <w:rFonts w:cs="Arial" w:ascii="Cambria" w:hAnsi="Cambria"/>
          <w:b/>
          <w:bCs/>
          <w:color w:val="000000"/>
          <w:szCs w:val="24"/>
        </w:rPr>
        <w:t>inexistência de crime</w:t>
      </w:r>
      <w:r>
        <w:rPr>
          <w:rFonts w:cs="Arial" w:ascii="Cambria" w:hAnsi="Cambria"/>
          <w:b w:val="false"/>
          <w:bCs w:val="false"/>
          <w:color w:val="000000"/>
          <w:szCs w:val="24"/>
        </w:rPr>
        <w:t xml:space="preserve">, requerendo a necessária </w:t>
      </w:r>
      <w:r>
        <w:rPr>
          <w:rFonts w:cs="Arial" w:ascii="Cambria" w:hAnsi="Cambria"/>
          <w:b/>
          <w:bCs/>
          <w:color w:val="000000"/>
          <w:szCs w:val="24"/>
        </w:rPr>
        <w:t>homologação judicial</w:t>
      </w:r>
      <w:r>
        <w:rPr>
          <w:rFonts w:cs="Arial" w:ascii="Cambria" w:hAnsi="Cambria"/>
          <w:b w:val="false"/>
          <w:bCs w:val="false"/>
          <w:color w:val="000000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b w:val="false"/>
          <w:b w:val="false"/>
          <w:bCs w:val="false"/>
          <w:color w:val="000000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b w:val="false"/>
          <w:bCs w:val="false"/>
          <w:color w:val="000000"/>
          <w:szCs w:val="24"/>
        </w:rPr>
        <w:t>_______/TO, __ de _______ de _______.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 w:cs="Arial"/>
          <w:b w:val="false"/>
          <w:b w:val="false"/>
          <w:bCs w:val="false"/>
          <w:color w:val="000000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ab/>
        <w:tab/>
        <w:tab/>
        <w:tab/>
        <w:tab/>
      </w:r>
    </w:p>
    <w:p>
      <w:pPr>
        <w:pStyle w:val="Normal"/>
        <w:spacing w:lineRule="auto" w:line="360"/>
        <w:jc w:val="center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 w:val="false"/>
          <w:bCs w:val="false"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494</Words>
  <Characters>2784</Characters>
  <CharactersWithSpaces>3262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2023-06-10T17:33:48Z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