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EB" w:rsidRDefault="003333EB">
      <w:pPr>
        <w:pStyle w:val="LO-normal"/>
        <w:spacing w:before="120" w:after="120" w:line="360" w:lineRule="auto"/>
        <w:rPr>
          <w:rFonts w:ascii="Cambria" w:eastAsia="Cambria" w:hAnsi="Cambria" w:cs="Cambria"/>
          <w:color w:val="0000FF"/>
          <w:sz w:val="24"/>
        </w:rPr>
      </w:pPr>
      <w:bookmarkStart w:id="0" w:name="_GoBack"/>
      <w:bookmarkEnd w:id="0"/>
    </w:p>
    <w:p w:rsidR="003333EB" w:rsidRDefault="003333EB">
      <w:pPr>
        <w:pStyle w:val="LO-normal"/>
        <w:widowControl w:val="0"/>
        <w:spacing w:after="0" w:line="240" w:lineRule="auto"/>
        <w:jc w:val="both"/>
        <w:rPr>
          <w:rFonts w:ascii="Cambria" w:eastAsia="Cambria" w:hAnsi="Cambria" w:cs="Cambria"/>
          <w:b/>
          <w:color w:val="0000FF"/>
          <w:sz w:val="24"/>
        </w:rPr>
      </w:pPr>
    </w:p>
    <w:p w:rsidR="003333EB" w:rsidRDefault="0022172E">
      <w:pPr>
        <w:pStyle w:val="LO-normal"/>
        <w:widowControl w:val="0"/>
        <w:spacing w:before="200" w:after="0" w:line="360" w:lineRule="auto"/>
        <w:jc w:val="center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PROCEDIMENTO ADMINISTRATIVO - PA</w:t>
      </w:r>
    </w:p>
    <w:p w:rsidR="003333EB" w:rsidRDefault="003333EB">
      <w:pPr>
        <w:pStyle w:val="LO-normal"/>
        <w:widowControl w:val="0"/>
        <w:tabs>
          <w:tab w:val="center" w:pos="4419"/>
          <w:tab w:val="right" w:pos="8838"/>
        </w:tabs>
        <w:spacing w:before="200" w:after="0" w:line="360" w:lineRule="auto"/>
        <w:jc w:val="both"/>
        <w:rPr>
          <w:rFonts w:ascii="Cambria" w:eastAsia="Cambria" w:hAnsi="Cambria" w:cs="Cambria"/>
          <w:sz w:val="24"/>
        </w:rPr>
      </w:pPr>
    </w:p>
    <w:p w:rsidR="003333EB" w:rsidRDefault="0022172E">
      <w:pPr>
        <w:pStyle w:val="LO-normal"/>
        <w:spacing w:before="200"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 </w:t>
      </w:r>
      <w:r>
        <w:rPr>
          <w:rFonts w:ascii="Cambria" w:eastAsia="Cambria" w:hAnsi="Cambria" w:cs="Cambria"/>
          <w:b/>
          <w:sz w:val="24"/>
        </w:rPr>
        <w:t>Ministério Público Eleitoral</w:t>
      </w:r>
      <w:r>
        <w:rPr>
          <w:rFonts w:ascii="Cambria" w:eastAsia="Cambria" w:hAnsi="Cambria" w:cs="Cambria"/>
          <w:sz w:val="24"/>
        </w:rPr>
        <w:t>, por intermédio do Promotor Eleitoral abaixo assinado, no uso das atribuições legais, e com fundamento nas disposições contidas na Portaria PGE n. 01, de 09 de setembro</w:t>
      </w:r>
      <w:r>
        <w:rPr>
          <w:rFonts w:ascii="Cambria" w:eastAsia="Cambria" w:hAnsi="Cambria" w:cs="Cambria"/>
          <w:sz w:val="24"/>
        </w:rPr>
        <w:t xml:space="preserve"> de 2019, que regulamenta o Procedimento Administrativo - PA, e;</w:t>
      </w:r>
    </w:p>
    <w:p w:rsidR="003333EB" w:rsidRDefault="0022172E">
      <w:pPr>
        <w:pStyle w:val="LO-normal"/>
        <w:spacing w:before="200"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Considerando</w:t>
      </w:r>
      <w:r>
        <w:rPr>
          <w:rFonts w:ascii="Cambria" w:eastAsia="Cambria" w:hAnsi="Cambria" w:cs="Cambria"/>
          <w:sz w:val="24"/>
        </w:rPr>
        <w:t xml:space="preserve"> que o Ministério Público é instituição permanente, </w:t>
      </w:r>
      <w:proofErr w:type="gramStart"/>
      <w:r>
        <w:rPr>
          <w:rFonts w:ascii="Cambria" w:eastAsia="Cambria" w:hAnsi="Cambria" w:cs="Cambria"/>
          <w:sz w:val="24"/>
        </w:rPr>
        <w:t>essencial</w:t>
      </w:r>
      <w:proofErr w:type="gramEnd"/>
      <w:r>
        <w:rPr>
          <w:rFonts w:ascii="Cambria" w:eastAsia="Cambria" w:hAnsi="Cambria" w:cs="Cambria"/>
          <w:sz w:val="24"/>
        </w:rPr>
        <w:t xml:space="preserve"> à função jurisdicional do Estado, incumbindo-lhe a defesa da </w:t>
      </w:r>
      <w:r>
        <w:rPr>
          <w:rFonts w:ascii="Cambria" w:eastAsia="Cambria" w:hAnsi="Cambria" w:cs="Cambria"/>
          <w:b/>
          <w:sz w:val="24"/>
        </w:rPr>
        <w:t>ordem jurídica</w:t>
      </w:r>
      <w:r>
        <w:rPr>
          <w:rFonts w:ascii="Cambria" w:eastAsia="Cambria" w:hAnsi="Cambria" w:cs="Cambria"/>
          <w:sz w:val="24"/>
        </w:rPr>
        <w:t xml:space="preserve"> e do </w:t>
      </w:r>
      <w:r>
        <w:rPr>
          <w:rFonts w:ascii="Cambria" w:eastAsia="Cambria" w:hAnsi="Cambria" w:cs="Cambria"/>
          <w:b/>
          <w:sz w:val="24"/>
        </w:rPr>
        <w:t>regime democrático</w:t>
      </w:r>
      <w:r>
        <w:rPr>
          <w:rFonts w:ascii="Cambria" w:eastAsia="Cambria" w:hAnsi="Cambria" w:cs="Cambria"/>
          <w:sz w:val="24"/>
        </w:rPr>
        <w:t xml:space="preserve"> (art. 127, </w:t>
      </w:r>
      <w:r>
        <w:rPr>
          <w:rFonts w:ascii="Cambria" w:eastAsia="Cambria" w:hAnsi="Cambria" w:cs="Cambria"/>
          <w:i/>
          <w:sz w:val="24"/>
        </w:rPr>
        <w:t>caput</w:t>
      </w:r>
      <w:r>
        <w:rPr>
          <w:rFonts w:ascii="Cambria" w:eastAsia="Cambria" w:hAnsi="Cambria" w:cs="Cambria"/>
          <w:sz w:val="24"/>
        </w:rPr>
        <w:t>,</w:t>
      </w:r>
      <w:r>
        <w:rPr>
          <w:rFonts w:ascii="Cambria" w:eastAsia="Cambria" w:hAnsi="Cambria" w:cs="Cambria"/>
          <w:sz w:val="24"/>
        </w:rPr>
        <w:t xml:space="preserve"> da CF);</w:t>
      </w:r>
    </w:p>
    <w:p w:rsidR="003333EB" w:rsidRDefault="0022172E">
      <w:pPr>
        <w:pStyle w:val="LO-normal"/>
        <w:spacing w:before="200"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Considerando</w:t>
      </w:r>
      <w:r>
        <w:rPr>
          <w:rFonts w:ascii="Cambria" w:eastAsia="Cambria" w:hAnsi="Cambria" w:cs="Cambria"/>
          <w:sz w:val="24"/>
        </w:rPr>
        <w:t xml:space="preserve"> as atribuições do </w:t>
      </w:r>
      <w:r>
        <w:rPr>
          <w:rFonts w:ascii="Cambria" w:eastAsia="Cambria" w:hAnsi="Cambria" w:cs="Cambria"/>
          <w:b/>
          <w:sz w:val="24"/>
        </w:rPr>
        <w:t>Ministério Público Eleitoral</w:t>
      </w:r>
      <w:r>
        <w:rPr>
          <w:rFonts w:ascii="Cambria" w:eastAsia="Cambria" w:hAnsi="Cambria" w:cs="Cambria"/>
          <w:sz w:val="24"/>
        </w:rPr>
        <w:t xml:space="preserve"> para atuar em todas as fases e instâncias do processo eleitoral, conforme determinam os </w:t>
      </w:r>
      <w:proofErr w:type="spellStart"/>
      <w:r>
        <w:rPr>
          <w:rFonts w:ascii="Cambria" w:eastAsia="Cambria" w:hAnsi="Cambria" w:cs="Cambria"/>
          <w:sz w:val="24"/>
        </w:rPr>
        <w:t>arts</w:t>
      </w:r>
      <w:proofErr w:type="spellEnd"/>
      <w:r>
        <w:rPr>
          <w:rFonts w:ascii="Cambria" w:eastAsia="Cambria" w:hAnsi="Cambria" w:cs="Cambria"/>
          <w:sz w:val="24"/>
        </w:rPr>
        <w:t>. 72 e seguintes, da LC nº 75/93;</w:t>
      </w:r>
    </w:p>
    <w:p w:rsidR="003333EB" w:rsidRDefault="0022172E">
      <w:pPr>
        <w:pStyle w:val="LO-normal"/>
        <w:spacing w:before="200"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Co</w:t>
      </w:r>
      <w:r>
        <w:rPr>
          <w:rFonts w:ascii="Cambria" w:eastAsia="Cambria" w:hAnsi="Cambria" w:cs="Cambria"/>
          <w:b/>
          <w:sz w:val="24"/>
        </w:rPr>
        <w:t>nsiderando</w:t>
      </w:r>
      <w:r>
        <w:rPr>
          <w:rFonts w:ascii="Cambria" w:eastAsia="Cambria" w:hAnsi="Cambria" w:cs="Cambria"/>
          <w:sz w:val="24"/>
        </w:rPr>
        <w:t xml:space="preserve"> que o Procedimento Administrativo, previsto e disciplinado na Portaria PGE n. 01/2019, é o instrumento adequado para </w:t>
      </w:r>
      <w:r>
        <w:rPr>
          <w:rFonts w:ascii="Cambria" w:eastAsia="Cambria" w:hAnsi="Cambria" w:cs="Cambria"/>
          <w:b/>
          <w:sz w:val="24"/>
        </w:rPr>
        <w:t>viabilizar a consecução de atividade-fim</w:t>
      </w:r>
      <w:r>
        <w:rPr>
          <w:rFonts w:ascii="Cambria" w:eastAsia="Cambria" w:hAnsi="Cambria" w:cs="Cambria"/>
          <w:sz w:val="24"/>
        </w:rPr>
        <w:t>, conforme art. 78, da referida Portaria;</w:t>
      </w:r>
    </w:p>
    <w:p w:rsidR="003333EB" w:rsidRDefault="0022172E">
      <w:pPr>
        <w:pStyle w:val="LO-normal"/>
        <w:spacing w:before="200"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Considerando</w:t>
      </w:r>
      <w:r>
        <w:rPr>
          <w:rFonts w:ascii="Cambria" w:eastAsia="Cambria" w:hAnsi="Cambria" w:cs="Cambria"/>
          <w:sz w:val="24"/>
        </w:rPr>
        <w:t xml:space="preserve"> que o Ministério Público, na defe</w:t>
      </w:r>
      <w:r>
        <w:rPr>
          <w:rFonts w:ascii="Cambria" w:eastAsia="Cambria" w:hAnsi="Cambria" w:cs="Cambria"/>
          <w:sz w:val="24"/>
        </w:rPr>
        <w:t xml:space="preserve">sa do regime democrático e da legitimidade do pleito eleitoral, </w:t>
      </w:r>
      <w:r>
        <w:rPr>
          <w:rFonts w:ascii="Cambria" w:eastAsia="Cambria" w:hAnsi="Cambria" w:cs="Cambria"/>
          <w:b/>
          <w:sz w:val="24"/>
        </w:rPr>
        <w:t>pode e deve atuar preventivamente</w:t>
      </w:r>
      <w:r>
        <w:rPr>
          <w:rFonts w:ascii="Cambria" w:eastAsia="Cambria" w:hAnsi="Cambria" w:cs="Cambria"/>
          <w:sz w:val="24"/>
        </w:rPr>
        <w:t xml:space="preserve">, notadamente </w:t>
      </w:r>
      <w:r w:rsidR="0002770D">
        <w:rPr>
          <w:rFonts w:ascii="Cambria" w:eastAsia="Cambria" w:hAnsi="Cambria" w:cs="Cambria"/>
          <w:sz w:val="24"/>
        </w:rPr>
        <w:t>orientando as agremiações e confederações partidárias quanto a inovações legislativo-constitucionais;</w:t>
      </w:r>
    </w:p>
    <w:p w:rsidR="0002770D" w:rsidRDefault="0002770D" w:rsidP="0002770D">
      <w:pPr>
        <w:pStyle w:val="LO-normal"/>
        <w:spacing w:before="200" w:after="0" w:line="360" w:lineRule="auto"/>
        <w:ind w:firstLine="1701"/>
        <w:jc w:val="both"/>
        <w:rPr>
          <w:rFonts w:asciiTheme="majorHAnsi" w:eastAsia="Cambria" w:hAnsiTheme="majorHAnsi" w:cs="Cambria"/>
          <w:sz w:val="24"/>
        </w:rPr>
      </w:pPr>
      <w:r>
        <w:rPr>
          <w:rFonts w:ascii="Cambria" w:eastAsia="Cambria" w:hAnsi="Cambria" w:cs="Cambria"/>
          <w:b/>
          <w:sz w:val="24"/>
        </w:rPr>
        <w:t>Considerando</w:t>
      </w:r>
      <w:r>
        <w:rPr>
          <w:rFonts w:ascii="Cambria" w:eastAsia="Cambria" w:hAnsi="Cambria" w:cs="Cambria"/>
          <w:sz w:val="24"/>
        </w:rPr>
        <w:t xml:space="preserve"> que </w:t>
      </w:r>
      <w:r>
        <w:rPr>
          <w:rFonts w:ascii="Cambria" w:eastAsia="Cambria" w:hAnsi="Cambria" w:cs="Cambria"/>
          <w:sz w:val="24"/>
        </w:rPr>
        <w:t xml:space="preserve">a </w:t>
      </w:r>
      <w:r w:rsidRPr="0002770D">
        <w:rPr>
          <w:rFonts w:asciiTheme="majorHAnsi" w:eastAsia="Cambria" w:hAnsiTheme="majorHAnsi" w:cs="Cambria"/>
          <w:sz w:val="24"/>
        </w:rPr>
        <w:t>Emenda Constitucional nº 111/2021 inseriu os parágrafos 12 e 13 à Constituição Federal, segundo os quais:</w:t>
      </w:r>
    </w:p>
    <w:p w:rsidR="0002770D" w:rsidRDefault="0002770D" w:rsidP="0002770D">
      <w:pPr>
        <w:pStyle w:val="LO-normal"/>
        <w:spacing w:before="200" w:after="0" w:line="360" w:lineRule="auto"/>
        <w:ind w:firstLine="1701"/>
        <w:jc w:val="both"/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</w:pPr>
      <w:r w:rsidRPr="0002770D"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  <w:t xml:space="preserve">§ 12. Serão realizadas concomitantemente às eleições municipais as consultas populares sobre questões locais aprovadas pelas Câmaras Municipais e </w:t>
      </w:r>
      <w:r w:rsidRPr="0002770D"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  <w:lastRenderedPageBreak/>
        <w:t>encaminhadas à Justiça Eleitoral até 90 (noventa) dias antes da data das eleições, observados os limites operacionais relativos ao número de quesitos. </w:t>
      </w:r>
    </w:p>
    <w:p w:rsidR="0002770D" w:rsidRDefault="0002770D">
      <w:pPr>
        <w:pStyle w:val="LO-normal"/>
        <w:spacing w:before="200" w:after="0" w:line="360" w:lineRule="auto"/>
        <w:ind w:firstLine="1701"/>
        <w:jc w:val="both"/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</w:pPr>
      <w:r w:rsidRPr="0002770D"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  <w:t>§ 13. As manifestações favoráveis e contrárias às questões submetidas às consultas populares nos termos do § 12 ocorrerão durante as campanhas eleitorais, sem a utilização de propaganda gratuita no rádio e na televisão</w:t>
      </w:r>
      <w:r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  <w:t>.</w:t>
      </w:r>
    </w:p>
    <w:p w:rsidR="0002770D" w:rsidRDefault="0002770D">
      <w:pPr>
        <w:pStyle w:val="LO-normal"/>
        <w:spacing w:before="200" w:after="0" w:line="360" w:lineRule="auto"/>
        <w:ind w:firstLine="1701"/>
        <w:jc w:val="both"/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</w:pPr>
      <w:r>
        <w:rPr>
          <w:rFonts w:ascii="Cambria" w:eastAsia="Cambria" w:hAnsi="Cambria" w:cs="Cambria"/>
          <w:b/>
          <w:sz w:val="24"/>
        </w:rPr>
        <w:t>Considerando</w:t>
      </w:r>
      <w:r>
        <w:rPr>
          <w:rFonts w:ascii="Cambria" w:eastAsia="Cambria" w:hAnsi="Cambria" w:cs="Cambria"/>
          <w:sz w:val="24"/>
        </w:rPr>
        <w:t xml:space="preserve"> que </w:t>
      </w:r>
      <w:r>
        <w:rPr>
          <w:rFonts w:ascii="Cambria" w:eastAsia="Cambria" w:hAnsi="Cambria" w:cs="Cambria"/>
          <w:sz w:val="24"/>
        </w:rPr>
        <w:t>as consultas populares representam forma de incremento da participação popular na definição dos destinos da cidade, fortalecendo o processo democrático;</w:t>
      </w:r>
    </w:p>
    <w:p w:rsidR="0002770D" w:rsidRPr="0002770D" w:rsidRDefault="0002770D">
      <w:pPr>
        <w:pStyle w:val="LO-normal"/>
        <w:spacing w:before="200" w:after="0" w:line="360" w:lineRule="auto"/>
        <w:ind w:firstLine="1701"/>
        <w:jc w:val="both"/>
        <w:rPr>
          <w:rFonts w:asciiTheme="majorHAnsi" w:eastAsia="Cambria" w:hAnsiTheme="majorHAnsi" w:cs="Cambria"/>
          <w:sz w:val="24"/>
        </w:rPr>
      </w:pPr>
    </w:p>
    <w:p w:rsidR="003333EB" w:rsidRDefault="0022172E">
      <w:pPr>
        <w:pStyle w:val="LO-normal"/>
        <w:spacing w:before="200" w:after="0" w:line="360" w:lineRule="auto"/>
        <w:ind w:firstLine="1701"/>
        <w:jc w:val="both"/>
        <w:rPr>
          <w:rFonts w:asciiTheme="majorHAnsi" w:eastAsia="Cambria" w:hAnsiTheme="majorHAnsi" w:cs="Cambria"/>
          <w:sz w:val="24"/>
        </w:rPr>
      </w:pPr>
      <w:r w:rsidRPr="0002770D">
        <w:rPr>
          <w:rFonts w:asciiTheme="majorHAnsi" w:eastAsia="Cambria" w:hAnsiTheme="majorHAnsi" w:cs="Cambria"/>
          <w:b/>
          <w:sz w:val="24"/>
        </w:rPr>
        <w:t>RESOLVE</w:t>
      </w:r>
      <w:r w:rsidRPr="0002770D">
        <w:rPr>
          <w:rFonts w:asciiTheme="majorHAnsi" w:eastAsia="Cambria" w:hAnsiTheme="majorHAnsi" w:cs="Cambria"/>
          <w:sz w:val="24"/>
        </w:rPr>
        <w:t xml:space="preserve"> </w:t>
      </w:r>
    </w:p>
    <w:p w:rsidR="0002770D" w:rsidRPr="0002770D" w:rsidRDefault="0002770D">
      <w:pPr>
        <w:pStyle w:val="LO-normal"/>
        <w:spacing w:before="200" w:after="0" w:line="360" w:lineRule="auto"/>
        <w:ind w:firstLine="1701"/>
        <w:jc w:val="both"/>
        <w:rPr>
          <w:rFonts w:asciiTheme="majorHAnsi" w:eastAsia="Cambria" w:hAnsiTheme="majorHAnsi" w:cs="Cambria"/>
          <w:sz w:val="24"/>
        </w:rPr>
      </w:pPr>
    </w:p>
    <w:p w:rsidR="003333EB" w:rsidRPr="0002770D" w:rsidRDefault="00B0386F">
      <w:pPr>
        <w:pStyle w:val="LO-normal"/>
        <w:spacing w:before="200" w:after="0" w:line="360" w:lineRule="auto"/>
        <w:ind w:firstLine="1701"/>
        <w:jc w:val="both"/>
        <w:rPr>
          <w:rFonts w:asciiTheme="majorHAnsi" w:eastAsia="Cambria" w:hAnsiTheme="majorHAnsi" w:cs="Cambria"/>
          <w:sz w:val="24"/>
        </w:rPr>
      </w:pPr>
      <w:r>
        <w:rPr>
          <w:rFonts w:asciiTheme="majorHAnsi" w:eastAsia="Cambria" w:hAnsiTheme="majorHAnsi" w:cs="Cambria"/>
          <w:sz w:val="24"/>
        </w:rPr>
        <w:t>I</w:t>
      </w:r>
      <w:r w:rsidR="0022172E" w:rsidRPr="0002770D">
        <w:rPr>
          <w:rFonts w:asciiTheme="majorHAnsi" w:eastAsia="Cambria" w:hAnsiTheme="majorHAnsi" w:cs="Cambria"/>
          <w:sz w:val="24"/>
        </w:rPr>
        <w:t xml:space="preserve">nstaurar o presente </w:t>
      </w:r>
      <w:r w:rsidR="0022172E" w:rsidRPr="0002770D">
        <w:rPr>
          <w:rFonts w:asciiTheme="majorHAnsi" w:eastAsia="Cambria" w:hAnsiTheme="majorHAnsi" w:cs="Cambria"/>
          <w:b/>
          <w:sz w:val="24"/>
        </w:rPr>
        <w:t>PROCEDIMENTO ADMINISTRATIVO</w:t>
      </w:r>
      <w:r w:rsidR="0022172E" w:rsidRPr="0002770D">
        <w:rPr>
          <w:rFonts w:asciiTheme="majorHAnsi" w:eastAsia="Cambria" w:hAnsiTheme="majorHAnsi" w:cs="Cambria"/>
          <w:sz w:val="24"/>
        </w:rPr>
        <w:t xml:space="preserve"> com o objetivo de </w:t>
      </w:r>
      <w:r w:rsidR="0002770D">
        <w:rPr>
          <w:rFonts w:asciiTheme="majorHAnsi" w:eastAsia="Cambria" w:hAnsiTheme="majorHAnsi" w:cs="Cambria"/>
          <w:sz w:val="24"/>
        </w:rPr>
        <w:t>comunicar/reforçar a possibilidade de se efetuar, no município de Tocantinópolis/TO, referida forma de escrutínio popular, além de recomendar, em caso de efetivação do procedimento, os trâmites necessários a serem observados perante a Justiça Eleitoral.</w:t>
      </w:r>
    </w:p>
    <w:p w:rsidR="003333EB" w:rsidRDefault="003333EB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</w:p>
    <w:p w:rsidR="003333EB" w:rsidRDefault="0022172E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Para tanto, </w:t>
      </w:r>
      <w:r>
        <w:rPr>
          <w:rFonts w:ascii="Cambria" w:eastAsia="Cambria" w:hAnsi="Cambria" w:cs="Cambria"/>
          <w:b/>
          <w:sz w:val="24"/>
        </w:rPr>
        <w:t>DETERMINA</w:t>
      </w:r>
      <w:r>
        <w:rPr>
          <w:rFonts w:ascii="Cambria" w:eastAsia="Cambria" w:hAnsi="Cambria" w:cs="Cambria"/>
          <w:sz w:val="24"/>
        </w:rPr>
        <w:t xml:space="preserve"> as seguintes providências:</w:t>
      </w:r>
    </w:p>
    <w:p w:rsidR="003333EB" w:rsidRDefault="003333EB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</w:p>
    <w:p w:rsidR="003333EB" w:rsidRDefault="0022172E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1. Registre-se o presente procedimento no sistema próprio (E-EXT/MPTO);</w:t>
      </w:r>
    </w:p>
    <w:p w:rsidR="003333EB" w:rsidRDefault="0022172E" w:rsidP="00B0386F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2. </w:t>
      </w:r>
      <w:r w:rsidR="00B0386F">
        <w:rPr>
          <w:rFonts w:ascii="Cambria" w:eastAsia="Cambria" w:hAnsi="Cambria" w:cs="Cambria"/>
          <w:sz w:val="24"/>
        </w:rPr>
        <w:t>Oficie-se a Câmara Municipal de Tocantinópolis/TO comunicando/reforçando a possibilidade de realização de consultas populares de forma concomitante às eleições municipais, certificando a remessa da notificação nos autos e determinando a entrega de via a cada partido ou federação partidária representados na Casa Legislativa Municipal;</w:t>
      </w:r>
    </w:p>
    <w:p w:rsidR="00B0386F" w:rsidRDefault="00B0386F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3. Expeça-se recomendação detalhando os passos a serem seguidos em caso de aprovação da veiculação de consultas populares nas eleições 2024, </w:t>
      </w:r>
      <w:r>
        <w:rPr>
          <w:rFonts w:ascii="Cambria" w:eastAsia="Cambria" w:hAnsi="Cambria" w:cs="Cambria"/>
          <w:sz w:val="24"/>
        </w:rPr>
        <w:t xml:space="preserve">certificando </w:t>
      </w:r>
      <w:r>
        <w:rPr>
          <w:rFonts w:ascii="Cambria" w:eastAsia="Cambria" w:hAnsi="Cambria" w:cs="Cambria"/>
          <w:sz w:val="24"/>
        </w:rPr>
        <w:lastRenderedPageBreak/>
        <w:t>a remessa</w:t>
      </w:r>
      <w:r>
        <w:rPr>
          <w:rFonts w:ascii="Cambria" w:eastAsia="Cambria" w:hAnsi="Cambria" w:cs="Cambria"/>
          <w:sz w:val="24"/>
        </w:rPr>
        <w:t xml:space="preserve"> nos autos e determinando a entrega de via a cada partido ou federação partidária representados na Casa Legislativa Municipal;</w:t>
      </w:r>
    </w:p>
    <w:p w:rsidR="003333EB" w:rsidRDefault="0022172E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4. Dê-se publicidade ao feito, encaminhando-se cópia desta Portaria para publicação no Diário Oficial Eletrônico.</w:t>
      </w:r>
    </w:p>
    <w:p w:rsidR="003333EB" w:rsidRDefault="003333EB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</w:p>
    <w:p w:rsidR="003333EB" w:rsidRDefault="0022172E">
      <w:pPr>
        <w:pStyle w:val="LO-normal"/>
        <w:spacing w:after="0" w:line="360" w:lineRule="auto"/>
        <w:ind w:firstLine="1701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bCs/>
          <w:color w:val="000000"/>
          <w:sz w:val="24"/>
        </w:rPr>
        <w:t>Cumpra-se.</w:t>
      </w:r>
    </w:p>
    <w:p w:rsidR="003333EB" w:rsidRDefault="003333EB">
      <w:pPr>
        <w:spacing w:line="360" w:lineRule="auto"/>
        <w:ind w:firstLine="1701"/>
        <w:jc w:val="both"/>
        <w:rPr>
          <w:rFonts w:ascii="Cambria" w:hAnsi="Cambria"/>
        </w:rPr>
      </w:pPr>
    </w:p>
    <w:p w:rsidR="003333EB" w:rsidRDefault="00B0386F">
      <w:pPr>
        <w:spacing w:line="360" w:lineRule="auto"/>
        <w:ind w:firstLine="1701"/>
        <w:jc w:val="both"/>
        <w:rPr>
          <w:rFonts w:ascii="Cambria" w:hAnsi="Cambria"/>
        </w:rPr>
      </w:pPr>
      <w:r>
        <w:rPr>
          <w:rFonts w:ascii="Cambria" w:hAnsi="Cambria" w:cs="Arial"/>
          <w:color w:val="000000"/>
        </w:rPr>
        <w:t>Tocantinópolis/TO, 21 de fevereiro de 2024.</w:t>
      </w:r>
    </w:p>
    <w:p w:rsidR="003333EB" w:rsidRDefault="003333EB">
      <w:pPr>
        <w:spacing w:line="360" w:lineRule="auto"/>
        <w:ind w:firstLine="1701"/>
        <w:jc w:val="both"/>
        <w:rPr>
          <w:rFonts w:ascii="Cambria" w:hAnsi="Cambria"/>
        </w:rPr>
      </w:pPr>
    </w:p>
    <w:p w:rsidR="00B0386F" w:rsidRPr="00B0386F" w:rsidRDefault="00B0386F" w:rsidP="00B0386F">
      <w:pPr>
        <w:spacing w:line="360" w:lineRule="auto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Célem</w:t>
      </w:r>
      <w:proofErr w:type="spellEnd"/>
      <w:r>
        <w:rPr>
          <w:rFonts w:ascii="Cambria" w:hAnsi="Cambria"/>
          <w:b/>
        </w:rPr>
        <w:t xml:space="preserve"> Guimarães Guerra Júnior</w:t>
      </w:r>
    </w:p>
    <w:p w:rsidR="003333EB" w:rsidRDefault="0022172E">
      <w:pPr>
        <w:spacing w:line="360" w:lineRule="auto"/>
        <w:ind w:firstLine="57"/>
        <w:jc w:val="center"/>
        <w:rPr>
          <w:rFonts w:ascii="Cambria" w:hAnsi="Cambria"/>
        </w:rPr>
      </w:pPr>
      <w:proofErr w:type="gramStart"/>
      <w:r>
        <w:rPr>
          <w:rFonts w:ascii="Cambria" w:hAnsi="Cambria" w:cs="Arial"/>
          <w:b/>
          <w:bCs/>
          <w:color w:val="000000"/>
        </w:rPr>
        <w:t>Promotor(</w:t>
      </w:r>
      <w:proofErr w:type="gramEnd"/>
      <w:r>
        <w:rPr>
          <w:rFonts w:ascii="Cambria" w:hAnsi="Cambria" w:cs="Arial"/>
          <w:b/>
          <w:bCs/>
          <w:color w:val="000000"/>
        </w:rPr>
        <w:t>a) Eleitoral</w:t>
      </w:r>
    </w:p>
    <w:sectPr w:rsidR="003333EB">
      <w:headerReference w:type="default" r:id="rId8"/>
      <w:pgSz w:w="11906" w:h="16838"/>
      <w:pgMar w:top="3017" w:right="1134" w:bottom="851" w:left="1701" w:header="125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2E" w:rsidRDefault="0022172E">
      <w:pPr>
        <w:spacing w:line="240" w:lineRule="auto"/>
      </w:pPr>
      <w:r>
        <w:separator/>
      </w:r>
    </w:p>
  </w:endnote>
  <w:endnote w:type="continuationSeparator" w:id="0">
    <w:p w:rsidR="0022172E" w:rsidRDefault="00221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2E" w:rsidRDefault="0022172E">
      <w:pPr>
        <w:spacing w:line="240" w:lineRule="auto"/>
      </w:pPr>
      <w:r>
        <w:separator/>
      </w:r>
    </w:p>
  </w:footnote>
  <w:footnote w:type="continuationSeparator" w:id="0">
    <w:p w:rsidR="0022172E" w:rsidRDefault="00221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EB" w:rsidRDefault="0022172E">
    <w:pPr>
      <w:suppressAutoHyphens w:val="0"/>
      <w:spacing w:line="360" w:lineRule="auto"/>
      <w:jc w:val="center"/>
    </w:pPr>
    <w:r>
      <w:rPr>
        <w:noProof/>
        <w:lang w:eastAsia="pt-BR"/>
      </w:rPr>
      <w:drawing>
        <wp:inline distT="0" distB="0" distL="0" distR="0">
          <wp:extent cx="487680" cy="520065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3EB" w:rsidRDefault="0022172E">
    <w:pPr>
      <w:suppressAutoHyphens w:val="0"/>
      <w:jc w:val="center"/>
      <w:rPr>
        <w:rFonts w:ascii="Arial" w:hAnsi="Arial" w:cs="Arial"/>
        <w:b/>
        <w:bCs/>
        <w:spacing w:val="8"/>
        <w:sz w:val="20"/>
        <w:szCs w:val="20"/>
        <w:lang w:eastAsia="en-US"/>
      </w:rPr>
    </w:pPr>
    <w:r>
      <w:rPr>
        <w:rFonts w:ascii="Arial" w:hAnsi="Arial" w:cs="Arial"/>
        <w:b/>
        <w:bCs/>
        <w:spacing w:val="8"/>
        <w:sz w:val="20"/>
        <w:szCs w:val="20"/>
        <w:lang w:eastAsia="en-US"/>
      </w:rPr>
      <w:t>MINISTÉRIO PÚBLICO ELEITORAL</w:t>
    </w:r>
  </w:p>
  <w:p w:rsidR="003333EB" w:rsidRDefault="003333EB">
    <w:pPr>
      <w:suppressAutoHyphens w:val="0"/>
      <w:jc w:val="center"/>
      <w:rPr>
        <w:rFonts w:ascii="Arial" w:hAnsi="Arial" w:cs="Arial"/>
        <w:b/>
        <w:bCs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20F7E"/>
    <w:multiLevelType w:val="multilevel"/>
    <w:tmpl w:val="25CA1FD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33EB"/>
    <w:rsid w:val="0002770D"/>
    <w:rsid w:val="001A3D3A"/>
    <w:rsid w:val="0022172E"/>
    <w:rsid w:val="003333EB"/>
    <w:rsid w:val="00B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100" w:lineRule="atLeast"/>
    </w:pPr>
    <w:rPr>
      <w:rFonts w:eastAsia="Times New Roman" w:cs="Times New Roman"/>
      <w:color w:val="00000A"/>
      <w:kern w:val="2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qFormat/>
    <w:rPr>
      <w:rFonts w:ascii="Courier New" w:eastAsia="Times New Roman" w:hAnsi="Courier New" w:cs="Courier New"/>
      <w:sz w:val="28"/>
      <w:szCs w:val="28"/>
      <w:lang w:eastAsia="zh-CN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1"/>
    <w:qFormat/>
    <w:rPr>
      <w:vertAlign w:val="superscript"/>
    </w:rPr>
  </w:style>
  <w:style w:type="character" w:customStyle="1" w:styleId="nfaseforte">
    <w:name w:val="Ênfase forte"/>
    <w:basedOn w:val="Fontepargpadro"/>
    <w:qFormat/>
    <w:rPr>
      <w:b/>
      <w:bCs/>
    </w:rPr>
  </w:style>
  <w:style w:type="character" w:customStyle="1" w:styleId="url">
    <w:name w:val="url"/>
    <w:basedOn w:val="Fontepargpadro"/>
    <w:qFormat/>
  </w:style>
  <w:style w:type="character" w:customStyle="1" w:styleId="hit">
    <w:name w:val="hit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701"/>
      <w:jc w:val="both"/>
    </w:pPr>
    <w:rPr>
      <w:rFonts w:ascii="Courier New" w:hAnsi="Courier New" w:cs="Courier New"/>
      <w:sz w:val="28"/>
      <w:szCs w:val="28"/>
    </w:rPr>
  </w:style>
  <w:style w:type="paragraph" w:customStyle="1" w:styleId="Corpodetexto21">
    <w:name w:val="Corpo de texto 21"/>
    <w:basedOn w:val="Normal"/>
    <w:qFormat/>
    <w:pPr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uiPriority w:val="99"/>
    <w:qFormat/>
    <w:pPr>
      <w:suppressAutoHyphens w:val="0"/>
      <w:spacing w:before="28" w:after="28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pPr>
      <w:spacing w:after="200" w:line="276" w:lineRule="auto"/>
    </w:pPr>
  </w:style>
  <w:style w:type="character" w:styleId="Hyperlink">
    <w:name w:val="Hyperlink"/>
    <w:basedOn w:val="Fontepargpadro"/>
    <w:uiPriority w:val="99"/>
    <w:semiHidden/>
    <w:unhideWhenUsed/>
    <w:rsid w:val="00027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100" w:lineRule="atLeast"/>
    </w:pPr>
    <w:rPr>
      <w:rFonts w:eastAsia="Times New Roman" w:cs="Times New Roman"/>
      <w:color w:val="00000A"/>
      <w:kern w:val="2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qFormat/>
    <w:rPr>
      <w:rFonts w:ascii="Courier New" w:eastAsia="Times New Roman" w:hAnsi="Courier New" w:cs="Courier New"/>
      <w:sz w:val="28"/>
      <w:szCs w:val="28"/>
      <w:lang w:eastAsia="zh-CN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1"/>
    <w:qFormat/>
    <w:rPr>
      <w:vertAlign w:val="superscript"/>
    </w:rPr>
  </w:style>
  <w:style w:type="character" w:customStyle="1" w:styleId="nfaseforte">
    <w:name w:val="Ênfase forte"/>
    <w:basedOn w:val="Fontepargpadro"/>
    <w:qFormat/>
    <w:rPr>
      <w:b/>
      <w:bCs/>
    </w:rPr>
  </w:style>
  <w:style w:type="character" w:customStyle="1" w:styleId="url">
    <w:name w:val="url"/>
    <w:basedOn w:val="Fontepargpadro"/>
    <w:qFormat/>
  </w:style>
  <w:style w:type="character" w:customStyle="1" w:styleId="hit">
    <w:name w:val="hit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701"/>
      <w:jc w:val="both"/>
    </w:pPr>
    <w:rPr>
      <w:rFonts w:ascii="Courier New" w:hAnsi="Courier New" w:cs="Courier New"/>
      <w:sz w:val="28"/>
      <w:szCs w:val="28"/>
    </w:rPr>
  </w:style>
  <w:style w:type="paragraph" w:customStyle="1" w:styleId="Corpodetexto21">
    <w:name w:val="Corpo de texto 21"/>
    <w:basedOn w:val="Normal"/>
    <w:qFormat/>
    <w:pPr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uiPriority w:val="99"/>
    <w:qFormat/>
    <w:pPr>
      <w:suppressAutoHyphens w:val="0"/>
      <w:spacing w:before="28" w:after="28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pPr>
      <w:spacing w:after="200" w:line="276" w:lineRule="auto"/>
    </w:pPr>
  </w:style>
  <w:style w:type="character" w:styleId="Hyperlink">
    <w:name w:val="Hyperlink"/>
    <w:basedOn w:val="Fontepargpadro"/>
    <w:uiPriority w:val="99"/>
    <w:semiHidden/>
    <w:unhideWhenUsed/>
    <w:rsid w:val="00027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2024-02-21T15:54:00Z</dcterms:created>
  <dcterms:modified xsi:type="dcterms:W3CDTF">2024-02-21T15:54:00Z</dcterms:modified>
  <dc:language>en-US</dc:language>
</cp:coreProperties>
</file>