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113" w:after="113"/>
        <w:ind w:left="0" w:right="0" w:firstLine="1701"/>
        <w:jc w:val="both"/>
        <w:rPr>
          <w:rFonts w:ascii="Cambria" w:hAnsi="Cambria"/>
          <w:b w:val="false"/>
          <w:b w:val="false"/>
          <w:bCs w:val="false"/>
        </w:rPr>
      </w:pPr>
      <w:r>
        <w:rPr>
          <w:rFonts w:cs="Arial" w:ascii="Cambria" w:hAnsi="Cambria"/>
          <w:b w:val="false"/>
          <w:bCs w:val="false"/>
          <w:color w:val="000000"/>
          <w:sz w:val="24"/>
          <w:szCs w:val="24"/>
          <w:lang w:bidi="pt-BR"/>
        </w:rPr>
        <w:t xml:space="preserve">O </w:t>
      </w:r>
      <w:r>
        <w:rPr>
          <w:rFonts w:cs="Arial" w:ascii="Cambria" w:hAnsi="Cambria"/>
          <w:b/>
          <w:bCs/>
          <w:color w:val="000000"/>
          <w:sz w:val="24"/>
          <w:szCs w:val="24"/>
          <w:lang w:bidi="pt-BR"/>
        </w:rPr>
        <w:t>MINISTÉRIO PÚBLICO ELEITORAL</w:t>
      </w:r>
      <w:r>
        <w:rPr>
          <w:rFonts w:cs="Arial" w:ascii="Cambria" w:hAnsi="Cambria"/>
          <w:b w:val="false"/>
          <w:bCs w:val="false"/>
          <w:color w:val="000000"/>
          <w:sz w:val="24"/>
          <w:szCs w:val="24"/>
          <w:lang w:bidi="pt-BR"/>
        </w:rPr>
        <w:t xml:space="preserve">, através do Promotor Eleitoral adiante firmado, inconformado com o ato desse Juízo, consistente na expedição de diploma a NOME DO RECORRIDO, eleito VEREADOR </w:t>
      </w:r>
      <w:r>
        <w:rPr>
          <w:rFonts w:cs="Arial" w:ascii="Cambria" w:hAnsi="Cambria"/>
          <w:b w:val="false"/>
          <w:bCs w:val="false"/>
          <w:color w:val="000000"/>
          <w:sz w:val="24"/>
          <w:szCs w:val="24"/>
          <w:lang w:bidi="zxx"/>
        </w:rPr>
        <w:t>pela(o) COLIGAÇÃO/PARTIDO/</w:t>
      </w:r>
      <w:r>
        <w:rPr>
          <w:rFonts w:cs="Arial" w:ascii="Cambria" w:hAnsi="Cambria"/>
          <w:b w:val="false"/>
          <w:bCs w:val="false"/>
          <w:color w:val="000000"/>
          <w:sz w:val="24"/>
          <w:szCs w:val="24"/>
          <w:lang w:bidi="zxx"/>
        </w:rPr>
        <w:t>FEDERAÇÃO</w:t>
      </w:r>
      <w:r>
        <w:rPr>
          <w:rFonts w:cs="Arial" w:ascii="Cambria" w:hAnsi="Cambria"/>
          <w:b w:val="false"/>
          <w:bCs w:val="false"/>
          <w:color w:val="000000"/>
          <w:sz w:val="24"/>
          <w:szCs w:val="24"/>
          <w:lang w:bidi="zxx"/>
        </w:rPr>
        <w:t xml:space="preserve">, vem, respeitosamente, perante Vossa Excelência, com fulcro no artigo 262, caput, do Código Eleitoral, apresentar </w:t>
      </w:r>
      <w:r>
        <w:rPr>
          <w:rFonts w:cs="Arial" w:ascii="Cambria" w:hAnsi="Cambria"/>
          <w:b/>
          <w:bCs/>
          <w:color w:val="000000"/>
          <w:sz w:val="24"/>
          <w:szCs w:val="24"/>
          <w:lang w:bidi="zxx"/>
        </w:rPr>
        <w:t>RECURSO CONTRA EXPEDIÇÃO DE DIPLOMA</w:t>
      </w:r>
      <w:r>
        <w:rPr>
          <w:rFonts w:cs="Arial" w:ascii="Cambria" w:hAnsi="Cambria"/>
          <w:b w:val="false"/>
          <w:bCs w:val="false"/>
          <w:color w:val="000000"/>
          <w:sz w:val="24"/>
          <w:szCs w:val="24"/>
          <w:lang w:bidi="zxx"/>
        </w:rPr>
        <w:t>, requerendo seja o mesmo recebido, para posterior remessa ao Egrégio Tribunal Regional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p>
      <w:pPr>
        <w:pStyle w:val="Normal"/>
        <w:widowControl/>
        <w:suppressAutoHyphens w:val="true"/>
        <w:overflowPunct w:val="false"/>
        <w:bidi w:val="0"/>
        <w:spacing w:lineRule="auto" w:line="360" w:before="0" w:after="0"/>
        <w:ind w:left="0" w:right="0" w:firstLine="57"/>
        <w:jc w:val="center"/>
        <w:rPr>
          <w:rFonts w:cs="Arial"/>
          <w:b/>
          <w:b/>
          <w:bCs/>
          <w:color w:val="000000"/>
          <w:sz w:val="24"/>
          <w:szCs w:val="24"/>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cs="Arial"/>
          <w:b/>
          <w:b/>
          <w:bCs/>
          <w:color w:val="000000"/>
          <w:sz w:val="24"/>
          <w:szCs w:val="24"/>
        </w:rPr>
      </w:pPr>
      <w:r>
        <w:rPr>
          <w:rFonts w:ascii="Cambria" w:hAnsi="Cambria"/>
        </w:rPr>
      </w:r>
      <w:r>
        <w:br w:type="page"/>
      </w:r>
    </w:p>
    <w:p>
      <w:pPr>
        <w:pStyle w:val="Normal"/>
        <w:widowControl/>
        <w:suppressAutoHyphens w:val="true"/>
        <w:overflowPunct w:val="false"/>
        <w:bidi w:val="0"/>
        <w:spacing w:lineRule="auto" w:line="360" w:before="0" w:after="0"/>
        <w:ind w:left="0" w:right="0" w:firstLine="57"/>
        <w:jc w:val="center"/>
        <w:rPr>
          <w:rFonts w:cs="Arial"/>
          <w:b/>
          <w:b/>
          <w:bCs/>
          <w:color w:val="000000"/>
          <w:sz w:val="24"/>
          <w:szCs w:val="24"/>
        </w:rPr>
      </w:pPr>
      <w:r>
        <w:rPr>
          <w:rFonts w:ascii="Cambria" w:hAnsi="Cambria"/>
        </w:rPr>
      </w:r>
    </w:p>
    <w:p>
      <w:pPr>
        <w:pStyle w:val="Normal"/>
        <w:spacing w:lineRule="auto" w:line="360"/>
        <w:jc w:val="both"/>
        <w:rPr>
          <w:rFonts w:ascii="Cambria" w:hAnsi="Cambria" w:cs="Arial"/>
          <w:b/>
          <w:b/>
          <w:bCs/>
          <w:sz w:val="24"/>
          <w:szCs w:val="24"/>
        </w:rPr>
      </w:pPr>
      <w:r>
        <w:rPr>
          <w:rFonts w:cs="Arial" w:ascii="Cambria" w:hAnsi="Cambria"/>
          <w:b/>
          <w:bCs/>
          <w:sz w:val="24"/>
          <w:szCs w:val="24"/>
        </w:rPr>
        <w:t>Colendo Tribunal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Douto Procurador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Senhor Relator</w:t>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tbl>
      <w:tblPr>
        <w:tblW w:w="9364" w:type="dxa"/>
        <w:jc w:val="left"/>
        <w:tblInd w:w="-1" w:type="dxa"/>
        <w:tblLayout w:type="fixed"/>
        <w:tblCellMar>
          <w:top w:w="55" w:type="dxa"/>
          <w:left w:w="55" w:type="dxa"/>
          <w:bottom w:w="55" w:type="dxa"/>
          <w:right w:w="55" w:type="dxa"/>
        </w:tblCellMar>
      </w:tblPr>
      <w:tblGrid>
        <w:gridCol w:w="9364"/>
      </w:tblGrid>
      <w:tr>
        <w:trPr/>
        <w:tc>
          <w:tcPr>
            <w:tcW w:w="9364"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Cambria" w:hAnsi="Cambria" w:cs="Arial"/>
                <w:b/>
                <w:b/>
                <w:bCs/>
                <w:sz w:val="24"/>
                <w:szCs w:val="24"/>
              </w:rPr>
            </w:pPr>
            <w:r>
              <w:rPr>
                <w:rFonts w:cs="Arial" w:ascii="Cambria" w:hAnsi="Cambria"/>
                <w:b/>
                <w:bCs/>
                <w:sz w:val="24"/>
                <w:szCs w:val="24"/>
              </w:rPr>
              <w:t>RCED Nº xxxxx/20</w:t>
            </w:r>
            <w:r>
              <w:rPr>
                <w:rFonts w:cs="Arial" w:ascii="Cambria" w:hAnsi="Cambria"/>
                <w:b/>
                <w:bCs/>
                <w:sz w:val="24"/>
                <w:szCs w:val="24"/>
              </w:rPr>
              <w:t>24</w:t>
            </w:r>
          </w:p>
        </w:tc>
      </w:tr>
    </w:tbl>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1 Da tempestividade</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sz w:val="24"/>
          <w:szCs w:val="24"/>
        </w:rPr>
        <w:t xml:space="preserve">Inicialmente, ressaltemos a tempestividade do presente recurso por ter sido aforado dentro do prazo legal (de três dias) estabelecido pelo art. 264 do Código Eleitoral, eis que a diplomação ocorrera no dia </w:t>
      </w:r>
      <w:r>
        <w:rPr>
          <w:rFonts w:cs="Arial" w:ascii="Cambria" w:hAnsi="Cambria"/>
          <w:b/>
          <w:bCs/>
          <w:sz w:val="24"/>
          <w:szCs w:val="24"/>
        </w:rPr>
        <w:t>XX</w:t>
      </w:r>
      <w:r>
        <w:rPr>
          <w:rFonts w:cs="Arial" w:ascii="Cambria" w:hAnsi="Cambria"/>
          <w:sz w:val="24"/>
          <w:szCs w:val="24"/>
        </w:rPr>
        <w:t xml:space="preserve"> de dezembro de 20</w:t>
      </w:r>
      <w:r>
        <w:rPr>
          <w:rFonts w:cs="Arial" w:ascii="Cambria" w:hAnsi="Cambria"/>
          <w:sz w:val="24"/>
          <w:szCs w:val="24"/>
        </w:rPr>
        <w:t>24</w:t>
      </w:r>
      <w:r>
        <w:rPr>
          <w:rFonts w:cs="Arial" w:ascii="Cambria" w:hAnsi="Cambria"/>
          <w:sz w:val="24"/>
          <w:szCs w:val="24"/>
        </w:rPr>
        <w:t xml:space="preserve">, enquanto este recurso teve formalizada a sua interposição </w:t>
      </w:r>
      <w:r>
        <w:rPr>
          <w:rFonts w:cs="Arial" w:ascii="Cambria" w:hAnsi="Cambria"/>
          <w:sz w:val="24"/>
          <w:szCs w:val="24"/>
        </w:rPr>
        <w:t>n</w:t>
      </w:r>
      <w:r>
        <w:rPr>
          <w:rFonts w:cs="Arial" w:ascii="Cambria" w:hAnsi="Cambria"/>
          <w:sz w:val="24"/>
          <w:szCs w:val="24"/>
        </w:rPr>
        <w:t xml:space="preserve">o dia </w:t>
      </w:r>
      <w:r>
        <w:rPr>
          <w:rFonts w:cs="Arial" w:ascii="Cambria" w:hAnsi="Cambria"/>
          <w:b/>
          <w:bCs/>
          <w:sz w:val="24"/>
          <w:szCs w:val="24"/>
        </w:rPr>
        <w:t>XX</w:t>
      </w:r>
      <w:r>
        <w:rPr>
          <w:rFonts w:cs="Arial" w:ascii="Cambria" w:hAnsi="Cambria"/>
          <w:sz w:val="24"/>
          <w:szCs w:val="24"/>
        </w:rPr>
        <w:t xml:space="preserve"> do mesmo mês. Destarte, impõe-se o seu conhecimento.</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2 Dos Fatos e do Direito</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 xml:space="preserve">O Partido </w:t>
      </w:r>
      <w:r>
        <w:rPr>
          <w:rFonts w:cs="Arial" w:ascii="Cambria" w:hAnsi="Cambria"/>
          <w:sz w:val="24"/>
          <w:szCs w:val="24"/>
        </w:rPr>
        <w:t>XXXX</w:t>
      </w:r>
      <w:r>
        <w:rPr>
          <w:rFonts w:cs="Arial" w:ascii="Cambria" w:hAnsi="Cambria"/>
          <w:sz w:val="24"/>
          <w:szCs w:val="24"/>
        </w:rPr>
        <w:t xml:space="preserve"> protocolou pedido de registro de seus candidatos e junto com ele apresentou a documentação exigida em lei, autuada em anexo. </w:t>
      </w:r>
    </w:p>
    <w:p>
      <w:pPr>
        <w:pStyle w:val="Normal"/>
        <w:widowControl/>
        <w:suppressAutoHyphens w:val="true"/>
        <w:overflowPunct w:val="false"/>
        <w:bidi w:val="0"/>
        <w:spacing w:lineRule="auto" w:line="360" w:before="0" w:after="0"/>
        <w:ind w:left="0" w:right="0" w:firstLine="1701"/>
        <w:jc w:val="both"/>
        <w:rPr>
          <w:rFonts w:cs="Arial"/>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 xml:space="preserve">Na autorização que o </w:t>
      </w:r>
      <w:r>
        <w:rPr>
          <w:rFonts w:cs="Arial" w:ascii="Cambria" w:hAnsi="Cambria"/>
          <w:sz w:val="24"/>
          <w:szCs w:val="24"/>
        </w:rPr>
        <w:t>recorrido</w:t>
      </w:r>
      <w:r>
        <w:rPr>
          <w:rFonts w:cs="Arial" w:ascii="Cambria" w:hAnsi="Cambria"/>
          <w:sz w:val="24"/>
          <w:szCs w:val="24"/>
        </w:rPr>
        <w:t xml:space="preserve"> deu ao Partido para o pedido de registro, qualificou-se como </w:t>
      </w:r>
      <w:r>
        <w:rPr>
          <w:rFonts w:cs="Arial" w:ascii="Cambria" w:hAnsi="Cambria"/>
          <w:color w:val="FF0000"/>
          <w:sz w:val="24"/>
          <w:szCs w:val="24"/>
        </w:rPr>
        <w:t xml:space="preserve">Servidor Público, constatando-se que o mesmo atuava como </w:t>
      </w:r>
      <w:r>
        <w:rPr>
          <w:rFonts w:cs="Arial" w:ascii="Cambria" w:hAnsi="Cambria"/>
          <w:b/>
          <w:color w:val="FF0000"/>
          <w:sz w:val="24"/>
          <w:szCs w:val="24"/>
        </w:rPr>
        <w:t>Secretário Municipal de Educação</w:t>
      </w:r>
      <w:r>
        <w:rPr>
          <w:rFonts w:cs="Arial" w:ascii="Cambria" w:hAnsi="Cambria"/>
          <w:color w:val="FF0000"/>
          <w:sz w:val="24"/>
          <w:szCs w:val="24"/>
        </w:rPr>
        <w:t>.</w:t>
      </w:r>
    </w:p>
    <w:p>
      <w:pPr>
        <w:pStyle w:val="Normal"/>
        <w:widowControl/>
        <w:suppressAutoHyphens w:val="true"/>
        <w:overflowPunct w:val="false"/>
        <w:bidi w:val="0"/>
        <w:spacing w:lineRule="auto" w:line="360" w:before="0" w:after="0"/>
        <w:ind w:left="0" w:right="0" w:firstLine="1701"/>
        <w:jc w:val="both"/>
        <w:rPr>
          <w:rFonts w:cs="Arial"/>
          <w:color w:val="FF0000"/>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 xml:space="preserve">O </w:t>
      </w:r>
      <w:r>
        <w:rPr>
          <w:rFonts w:cs="Arial" w:ascii="Cambria" w:hAnsi="Cambria"/>
          <w:sz w:val="24"/>
          <w:szCs w:val="24"/>
        </w:rPr>
        <w:t>a</w:t>
      </w:r>
      <w:r>
        <w:rPr>
          <w:rFonts w:cs="Arial" w:ascii="Cambria" w:hAnsi="Cambria"/>
          <w:sz w:val="24"/>
          <w:szCs w:val="24"/>
        </w:rPr>
        <w:t xml:space="preserve">rt. 1º, Inc. II a VII, da Lei das Inelegibilidades – Lei Complementar n.º 64/90 – estabelece que os servidores públicos, estatutários ou não, SÃO INELEGÍVEIS SE NÃO SE AFASTAREM, </w:t>
      </w:r>
      <w:r>
        <w:rPr>
          <w:rFonts w:cs="Arial" w:ascii="Cambria" w:hAnsi="Cambria"/>
          <w:b/>
          <w:sz w:val="24"/>
          <w:szCs w:val="24"/>
        </w:rPr>
        <w:t>de fato e de direito</w:t>
      </w:r>
      <w:r>
        <w:rPr>
          <w:rFonts w:cs="Arial" w:ascii="Cambria" w:hAnsi="Cambria"/>
          <w:sz w:val="24"/>
          <w:szCs w:val="24"/>
        </w:rPr>
        <w:t>, de suas funções nos prazos ali mencionados.</w:t>
      </w:r>
    </w:p>
    <w:p>
      <w:pPr>
        <w:pStyle w:val="Normal"/>
        <w:widowControl/>
        <w:suppressAutoHyphens w:val="true"/>
        <w:overflowPunct w:val="false"/>
        <w:bidi w:val="0"/>
        <w:spacing w:lineRule="auto" w:line="360" w:before="0" w:after="0"/>
        <w:ind w:left="0" w:right="0" w:firstLine="1701"/>
        <w:jc w:val="both"/>
        <w:rPr>
          <w:rFonts w:cs="Arial"/>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A necessidade do efetivo afastamento do funcionário público que aspira à candidatura está firmada, inclusive, pela jurisprudência, conforme se depreende dos julgados infracolacionados:</w:t>
      </w:r>
    </w:p>
    <w:p>
      <w:pPr>
        <w:pStyle w:val="Normal"/>
        <w:spacing w:lineRule="auto" w:line="360"/>
        <w:ind w:firstLine="1140"/>
        <w:jc w:val="both"/>
        <w:rPr>
          <w:rFonts w:ascii="Cambria" w:hAnsi="Cambria" w:cs="Arial"/>
          <w:sz w:val="24"/>
          <w:szCs w:val="24"/>
        </w:rPr>
      </w:pPr>
      <w:r>
        <w:rPr>
          <w:rFonts w:cs="Arial" w:ascii="Cambria" w:hAnsi="Cambria"/>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i w:val="false"/>
          <w:i w:val="false"/>
          <w:iCs w:val="false"/>
          <w:sz w:val="22"/>
          <w:szCs w:val="22"/>
        </w:rPr>
      </w:pPr>
      <w:r>
        <w:rPr>
          <w:rFonts w:cs="Arial" w:ascii="Cambria" w:hAnsi="Cambria"/>
          <w:i w:val="false"/>
          <w:iCs w:val="false"/>
          <w:sz w:val="22"/>
          <w:szCs w:val="22"/>
        </w:rPr>
        <w:t xml:space="preserve">"(...) Desincompatibilização. Declaração. Provimento. Declaração passada por autoridade do Estado é documento hábil para comprovar o afastamento do servidor para fins de registro de candidatura (art. 19, II, CF)." NE: (...) </w:t>
      </w:r>
      <w:r>
        <w:rPr>
          <w:rFonts w:cs="Arial" w:ascii="Cambria" w:hAnsi="Cambria"/>
          <w:b/>
          <w:bCs/>
          <w:i w:val="false"/>
          <w:iCs w:val="false"/>
          <w:sz w:val="22"/>
          <w:szCs w:val="22"/>
        </w:rPr>
        <w:t>"Nos termos da jurisprudência do Tribunal Superior Eleitoral 'a concessão do registro de candidatura (...) dar-se-á somente com o afastamento de fato' (...)"</w:t>
      </w:r>
      <w:r>
        <w:rPr>
          <w:rFonts w:cs="Arial" w:ascii="Cambria" w:hAnsi="Cambria"/>
          <w:i w:val="false"/>
          <w:iCs w:val="false"/>
          <w:sz w:val="22"/>
          <w:szCs w:val="22"/>
        </w:rPr>
        <w:t>. (TSE, Ac. n</w:t>
      </w:r>
      <w:r>
        <w:rPr>
          <w:rFonts w:cs="Arial" w:ascii="Cambria" w:hAnsi="Cambria"/>
          <w:i w:val="false"/>
          <w:iCs w:val="false"/>
          <w:sz w:val="22"/>
          <w:szCs w:val="22"/>
          <w:u w:val="single"/>
          <w:vertAlign w:val="superscript"/>
        </w:rPr>
        <w:t>o</w:t>
      </w:r>
      <w:r>
        <w:rPr>
          <w:rFonts w:cs="Arial" w:ascii="Cambria" w:hAnsi="Cambria"/>
          <w:i w:val="false"/>
          <w:iCs w:val="false"/>
          <w:sz w:val="22"/>
          <w:szCs w:val="22"/>
        </w:rPr>
        <w:t xml:space="preserve"> 23.200, de 23.9.2004, rel. Min. Humberto Gomes de Barros.)</w:t>
      </w:r>
    </w:p>
    <w:p>
      <w:pPr>
        <w:pStyle w:val="Normal"/>
        <w:spacing w:lineRule="auto" w:line="360"/>
        <w:ind w:left="2580" w:hanging="0"/>
        <w:jc w:val="both"/>
        <w:rPr>
          <w:rFonts w:ascii="Cambria" w:hAnsi="Cambria" w:cs="Arial"/>
          <w:i w:val="false"/>
          <w:i w:val="false"/>
          <w:iCs w:val="false"/>
          <w:sz w:val="22"/>
          <w:szCs w:val="22"/>
        </w:rPr>
      </w:pPr>
      <w:r>
        <w:rPr>
          <w:rFonts w:cs="Arial" w:ascii="Cambria" w:hAnsi="Cambria"/>
          <w:i w:val="false"/>
          <w:iCs w:val="false"/>
          <w:sz w:val="22"/>
          <w:szCs w:val="22"/>
        </w:rPr>
      </w:r>
    </w:p>
    <w:p>
      <w:pPr>
        <w:pStyle w:val="Normal"/>
        <w:widowControl/>
        <w:suppressAutoHyphens w:val="true"/>
        <w:overflowPunct w:val="false"/>
        <w:bidi w:val="0"/>
        <w:spacing w:lineRule="auto" w:line="360" w:before="0" w:after="0"/>
        <w:ind w:left="2268" w:right="0" w:hanging="0"/>
        <w:jc w:val="both"/>
        <w:rPr>
          <w:rFonts w:ascii="Cambria" w:hAnsi="Cambria"/>
          <w:i w:val="false"/>
          <w:i w:val="false"/>
          <w:iCs w:val="false"/>
          <w:sz w:val="22"/>
          <w:szCs w:val="22"/>
        </w:rPr>
      </w:pPr>
      <w:r>
        <w:rPr>
          <w:rFonts w:cs="Arial" w:ascii="Cambria" w:hAnsi="Cambria"/>
          <w:i w:val="false"/>
          <w:iCs w:val="false"/>
          <w:sz w:val="22"/>
          <w:szCs w:val="22"/>
        </w:rPr>
        <w:t xml:space="preserve">"Registro de candidatura. Recurso ordinário. Desincompatibilização. Tesoureiro de entidade previdenciária. Prova requerida em impugnação. Produção. Possibilidade. Afastamento de fato. Controvérsia. </w:t>
        <w:softHyphen/>
        <w:t xml:space="preserve">Documentos juntados com a contestação. Alegações finais. Falta de oportunidade. Recurso a que se deu provimento." NE: Tesoureiro do Instituto de Previdência da Assembléia Legislativa do Estado; candidatura a deputado estadual; </w:t>
      </w:r>
      <w:r>
        <w:rPr>
          <w:rFonts w:cs="Arial" w:ascii="Cambria" w:hAnsi="Cambria"/>
          <w:b/>
          <w:bCs/>
          <w:i w:val="false"/>
          <w:iCs w:val="false"/>
          <w:sz w:val="22"/>
          <w:szCs w:val="22"/>
        </w:rPr>
        <w:t xml:space="preserve">o Tribunal entendeu que "(...) o afastamento deve ser de fato, ou seja, o que importa para fins de elegibilidade é que o candidato efetivamente não tenha desempenhado o </w:t>
        <w:softHyphen/>
        <w:t>cargo ou a função pública.</w:t>
      </w:r>
      <w:r>
        <w:rPr>
          <w:rFonts w:cs="Arial" w:ascii="Cambria" w:hAnsi="Cambria"/>
          <w:i w:val="false"/>
          <w:iCs w:val="false"/>
          <w:sz w:val="22"/>
          <w:szCs w:val="22"/>
        </w:rPr>
        <w:t xml:space="preserve"> Assim, a alegação de que, apesar de exonerado há </w:t>
        <w:softHyphen/>
        <w:t>longo tempo da função de tesoureiro, o candidato exercia a atividade de fato deve ser apurada pelos meios cabíveis, inclusive por prova testemunhal. (...)" (TSE, Ac. n</w:t>
      </w:r>
      <w:r>
        <w:rPr>
          <w:rFonts w:cs="Arial" w:ascii="Cambria" w:hAnsi="Cambria"/>
          <w:i w:val="false"/>
          <w:iCs w:val="false"/>
          <w:sz w:val="22"/>
          <w:szCs w:val="22"/>
          <w:u w:val="single"/>
          <w:vertAlign w:val="superscript"/>
        </w:rPr>
        <w:t>o</w:t>
      </w:r>
      <w:r>
        <w:rPr>
          <w:rFonts w:cs="Arial" w:ascii="Cambria" w:hAnsi="Cambria"/>
          <w:i w:val="false"/>
          <w:iCs w:val="false"/>
          <w:sz w:val="22"/>
          <w:szCs w:val="22"/>
        </w:rPr>
        <w:t xml:space="preserve"> 20.256, de 17.9.2002, rel. Min. Fernando Neves.)</w:t>
      </w:r>
    </w:p>
    <w:p>
      <w:pPr>
        <w:pStyle w:val="Normal"/>
        <w:spacing w:lineRule="auto" w:line="360"/>
        <w:ind w:firstLine="1140"/>
        <w:jc w:val="both"/>
        <w:rPr>
          <w:rFonts w:ascii="Cambria" w:hAnsi="Cambria" w:cs="Arial"/>
          <w:i w:val="false"/>
          <w:i w:val="false"/>
          <w:iCs w:val="false"/>
          <w:sz w:val="22"/>
          <w:szCs w:val="22"/>
        </w:rPr>
      </w:pPr>
      <w:r>
        <w:rPr>
          <w:rFonts w:cs="Arial" w:ascii="Cambria" w:hAnsi="Cambria"/>
          <w:i w:val="false"/>
          <w:iCs w:val="false"/>
          <w:sz w:val="22"/>
          <w:szCs w:val="22"/>
        </w:rPr>
      </w:r>
    </w:p>
    <w:p>
      <w:pPr>
        <w:pStyle w:val="Normal"/>
        <w:widowControl/>
        <w:tabs>
          <w:tab w:val="clear" w:pos="708"/>
          <w:tab w:val="left" w:pos="1517" w:leader="none"/>
        </w:tabs>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Essa incompatibilidade entre o exercício de função pública e a candidatura justifica-se pela necessidade de se salvaguardar a igualdade de forças na disputa eleitoral. Com efeito, milita em favor dos funcionários públicos a superioridade de oportunidades relativamente aos demais adversários, podendo advir, daí, desequilíbrios no processo eleitoral.</w:t>
      </w:r>
    </w:p>
    <w:p>
      <w:pPr>
        <w:pStyle w:val="Normal"/>
        <w:widowControl/>
        <w:tabs>
          <w:tab w:val="clear" w:pos="708"/>
          <w:tab w:val="left" w:pos="1517" w:leader="none"/>
        </w:tabs>
        <w:suppressAutoHyphens w:val="true"/>
        <w:overflowPunct w:val="false"/>
        <w:bidi w:val="0"/>
        <w:spacing w:lineRule="auto" w:line="360" w:before="0" w:after="0"/>
        <w:ind w:left="0" w:right="0" w:firstLine="1701"/>
        <w:jc w:val="both"/>
        <w:rPr>
          <w:rFonts w:cs="Arial"/>
        </w:rPr>
      </w:pPr>
      <w:r>
        <w:rPr>
          <w:rFonts w:ascii="Cambria" w:hAnsi="Cambria"/>
          <w:sz w:val="24"/>
          <w:szCs w:val="24"/>
        </w:rPr>
      </w:r>
    </w:p>
    <w:p>
      <w:pPr>
        <w:pStyle w:val="Normal"/>
        <w:widowControl/>
        <w:tabs>
          <w:tab w:val="clear" w:pos="708"/>
          <w:tab w:val="left" w:pos="1517" w:leader="none"/>
        </w:tabs>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Constituindo-se o "status" de servidor público em causa de inelegibilidade, cabe ao candidato, para nela não incorrer, desincompatibilizar-se de suas funções, no prazo que a lei estabelece. E mais, cabe-lhe, junto ao pedido de seu registro, provar documentalmente sua efetiva desincompatibilização.</w:t>
      </w:r>
    </w:p>
    <w:p>
      <w:pPr>
        <w:pStyle w:val="Normal"/>
        <w:widowControl/>
        <w:tabs>
          <w:tab w:val="clear" w:pos="708"/>
          <w:tab w:val="left" w:pos="1517" w:leader="none"/>
        </w:tabs>
        <w:suppressAutoHyphens w:val="true"/>
        <w:overflowPunct w:val="false"/>
        <w:bidi w:val="0"/>
        <w:spacing w:lineRule="auto" w:line="360" w:before="0" w:after="0"/>
        <w:ind w:left="0" w:right="0" w:firstLine="1701"/>
        <w:jc w:val="both"/>
        <w:rPr>
          <w:rFonts w:cs="Arial"/>
          <w:shd w:fill="FFFF00" w:val="clear"/>
        </w:rPr>
      </w:pPr>
      <w:r>
        <w:rPr>
          <w:rFonts w:ascii="Cambria" w:hAnsi="Cambria"/>
          <w:sz w:val="24"/>
          <w:szCs w:val="24"/>
        </w:rPr>
      </w:r>
    </w:p>
    <w:p>
      <w:pPr>
        <w:pStyle w:val="Normal"/>
        <w:widowControl/>
        <w:tabs>
          <w:tab w:val="clear" w:pos="708"/>
          <w:tab w:val="left" w:pos="1517" w:leader="none"/>
        </w:tabs>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 xml:space="preserve">Nessa linha de raciocínio, leciona Edson de Resende Castro: </w:t>
      </w:r>
    </w:p>
    <w:p>
      <w:pPr>
        <w:pStyle w:val="Normal"/>
        <w:spacing w:lineRule="auto" w:line="360"/>
        <w:ind w:firstLine="1140"/>
        <w:jc w:val="both"/>
        <w:rPr>
          <w:rFonts w:ascii="Cambria" w:hAnsi="Cambria" w:cs="Arial"/>
          <w:sz w:val="24"/>
          <w:szCs w:val="24"/>
        </w:rPr>
      </w:pPr>
      <w:r>
        <w:rPr>
          <w:rFonts w:cs="Arial" w:ascii="Cambria" w:hAnsi="Cambria"/>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cs="Arial"/>
          <w:i/>
          <w:i/>
          <w:iCs/>
          <w:sz w:val="22"/>
          <w:szCs w:val="22"/>
        </w:rPr>
      </w:pPr>
      <w:r>
        <w:rPr>
          <w:rFonts w:cs="Arial" w:ascii="Cambria" w:hAnsi="Cambria"/>
          <w:i/>
          <w:iCs/>
          <w:sz w:val="22"/>
          <w:szCs w:val="22"/>
        </w:rPr>
        <w:t>“</w:t>
      </w:r>
      <w:r>
        <w:rPr>
          <w:rFonts w:cs="Arial" w:ascii="Cambria" w:hAnsi="Cambria"/>
          <w:i/>
          <w:iCs/>
          <w:sz w:val="22"/>
          <w:szCs w:val="22"/>
        </w:rPr>
        <w:t>Percebe-se que o que atrai a inelegibilidade é exatamente o exercício das funções do cargo ocupado pelo candidato. Para livrar-se da inelegibilidade, basta que o candidato se desincompatibilize das funções, observado o prazo recomendado pelo texto constitucional. Assim, a desincompatibilização é forma de afastamento da inelegibilidade resultante do exercício de certas funções. Esse afastamento, que em alguns casos se dará por simples licença (para os funcionários públicos efetivos), em outros por exoneração (para os servidores ocupantes de cargo em comissão) e em outros por renúncia (para os titulares de mandato eletivo), resolve a inelegibilidade, se observados os prazos fixados na lei” (Curso de Direito Eleitoral. 8ª ed. rev. e atual. Belo Horizonte: Del Rey, 2016, p. 161. Grifo no original).</w:t>
      </w:r>
    </w:p>
    <w:p>
      <w:pPr>
        <w:pStyle w:val="Normal"/>
        <w:spacing w:lineRule="auto" w:line="360"/>
        <w:ind w:left="2580" w:hanging="0"/>
        <w:jc w:val="both"/>
        <w:rPr>
          <w:rFonts w:ascii="Cambria" w:hAnsi="Cambria" w:cs="Arial"/>
          <w:i/>
          <w:i/>
          <w:iCs/>
          <w:sz w:val="24"/>
          <w:szCs w:val="24"/>
        </w:rPr>
      </w:pPr>
      <w:r>
        <w:rPr>
          <w:rFonts w:cs="Arial" w:ascii="Cambria" w:hAnsi="Cambria"/>
          <w:i/>
          <w:iCs/>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cs="Arial"/>
          <w:sz w:val="24"/>
          <w:szCs w:val="24"/>
        </w:rPr>
      </w:pPr>
      <w:r>
        <w:rPr>
          <w:rFonts w:cs="Arial" w:ascii="Cambria" w:hAnsi="Cambria"/>
          <w:sz w:val="24"/>
          <w:szCs w:val="24"/>
        </w:rPr>
        <w:t>A propósito do tema, a jurisprudência vem se posicionando no sentido de que o deferimento do registro de candidatura não prescinde da prova do afastamento do exercício da função pública incompatível com a candidatura:</w:t>
      </w:r>
    </w:p>
    <w:p>
      <w:pPr>
        <w:pStyle w:val="Normal"/>
        <w:spacing w:lineRule="auto" w:line="360"/>
        <w:ind w:firstLine="1140"/>
        <w:jc w:val="both"/>
        <w:rPr>
          <w:rFonts w:ascii="Cambria" w:hAnsi="Cambria" w:cs="Arial"/>
          <w:sz w:val="24"/>
          <w:szCs w:val="24"/>
        </w:rPr>
      </w:pPr>
      <w:r>
        <w:rPr>
          <w:rFonts w:cs="Arial" w:ascii="Cambria" w:hAnsi="Cambria"/>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i w:val="false"/>
          <w:i w:val="false"/>
          <w:iCs w:val="false"/>
          <w:sz w:val="22"/>
          <w:szCs w:val="22"/>
        </w:rPr>
      </w:pPr>
      <w:r>
        <w:rPr>
          <w:rFonts w:cs="Arial" w:ascii="Cambria" w:hAnsi="Cambria"/>
          <w:b/>
          <w:bCs/>
          <w:i w:val="false"/>
          <w:iCs w:val="false"/>
          <w:sz w:val="22"/>
          <w:szCs w:val="22"/>
        </w:rPr>
        <w:t>“</w:t>
      </w:r>
      <w:r>
        <w:rPr>
          <w:rFonts w:cs="Arial" w:ascii="Cambria" w:hAnsi="Cambria"/>
          <w:b/>
          <w:bCs/>
          <w:i w:val="false"/>
          <w:iCs w:val="false"/>
          <w:sz w:val="22"/>
          <w:szCs w:val="22"/>
        </w:rPr>
        <w:t xml:space="preserve">Recurso ordinário. Registro de candidatura. (...) Lei  Complementar no 64/90. Servidor público. Não-comprovação de afastamento de cargo público. Inelegibilidade configurada. </w:t>
      </w:r>
    </w:p>
    <w:p>
      <w:pPr>
        <w:pStyle w:val="Normal"/>
        <w:widowControl/>
        <w:suppressAutoHyphens w:val="true"/>
        <w:overflowPunct w:val="false"/>
        <w:bidi w:val="0"/>
        <w:spacing w:lineRule="auto" w:line="360" w:before="0" w:after="0"/>
        <w:ind w:left="2268" w:right="0" w:hanging="0"/>
        <w:jc w:val="both"/>
        <w:rPr>
          <w:rFonts w:ascii="Cambria" w:hAnsi="Cambria"/>
          <w:i w:val="false"/>
          <w:i w:val="false"/>
          <w:iCs w:val="false"/>
          <w:sz w:val="22"/>
          <w:szCs w:val="22"/>
        </w:rPr>
      </w:pPr>
      <w:r>
        <w:rPr>
          <w:rFonts w:cs="Arial" w:ascii="Cambria" w:hAnsi="Cambria"/>
          <w:i w:val="false"/>
          <w:iCs w:val="false"/>
          <w:sz w:val="22"/>
          <w:szCs w:val="22"/>
        </w:rPr>
        <w:t>(...) 2. Corretas as razões expendidas no parecer ofertado pelo Ministério Público Eleitoral: in casu, ao recorrente foi dada a oportunidade para regularizar os vícios presentes em seu requerimento de registro. Assim, após o julgamento de seu registro, precluiu para o recorrente a chance de regularizar as falhas encontradas no requerimento, sendo intempestiva a juntada da cópia do Diário Oficial de fls. 37 (fl. 48). 3. Em requerimento de registro de candidatura, esta Corte admite a juntada posterior de documentos quando esta não foi oportunizada na instância ordinária e quando o documento faltante acarretou o indeferimento do pedido de registro. Não é o caso presente nos autos, pois, na instância ordinária, o ora recorrente foi notificado para comprovar seu afastamento, no prazo legal, do cargo público que ocupa. Inaplicável, no caso, a Súmula no 3 desta Corte. 4. Recurso ordinário não provido.” (Ac. de 20.9.2006 no RO no 1.090, rel. Min. José Delgado.)</w:t>
      </w:r>
    </w:p>
    <w:p>
      <w:pPr>
        <w:pStyle w:val="Normal"/>
        <w:spacing w:lineRule="auto" w:line="360"/>
        <w:ind w:firstLine="1140"/>
        <w:jc w:val="both"/>
        <w:rPr>
          <w:rFonts w:ascii="Cambria" w:hAnsi="Cambria" w:cs="Arial"/>
          <w:sz w:val="24"/>
          <w:szCs w:val="24"/>
        </w:rPr>
      </w:pPr>
      <w:r>
        <w:rPr>
          <w:rFonts w:cs="Arial"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i/>
          <w:iCs/>
          <w:color w:val="FF0000"/>
          <w:sz w:val="24"/>
          <w:szCs w:val="24"/>
        </w:rPr>
        <w:t>In casu</w:t>
      </w:r>
      <w:r>
        <w:rPr>
          <w:rFonts w:cs="Arial" w:ascii="Cambria" w:hAnsi="Cambria"/>
          <w:color w:val="FF0000"/>
          <w:sz w:val="24"/>
          <w:szCs w:val="24"/>
        </w:rPr>
        <w:t xml:space="preserve">, o recorrido juntou cópia do ato que promoveu a sua exoneração do cargo de Secretário Municipal de Educação, no entanto, há prova nos autos de que este continuou comparecendo à sede da Secretaria e praticando atos inerentes ao cargo de Secretário, determinando a realização de tarefas mediante ordens dirigidas aos seus subordinados na pasta, participando de reuniões com servidores e professores, ou seja, houve a formalização do afastamento, mas não ocorreu a desincompatibilização de fato. </w:t>
      </w:r>
    </w:p>
    <w:p>
      <w:pPr>
        <w:pStyle w:val="Normal"/>
        <w:widowControl/>
        <w:suppressAutoHyphens w:val="true"/>
        <w:overflowPunct w:val="false"/>
        <w:bidi w:val="0"/>
        <w:spacing w:lineRule="auto" w:line="360" w:before="0" w:after="0"/>
        <w:ind w:left="0" w:right="0" w:firstLine="1701"/>
        <w:jc w:val="both"/>
        <w:rPr>
          <w:rFonts w:cs="Arial"/>
          <w:color w:val="FF0000"/>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color w:val="FF0000"/>
          <w:sz w:val="24"/>
          <w:szCs w:val="24"/>
        </w:rPr>
        <w:t>Impende salientar que recorrido praticou atos inerentes ao cargo de Secretário Municipal após o dia 15 de agosto de 20</w:t>
      </w:r>
      <w:r>
        <w:rPr>
          <w:rFonts w:cs="Arial" w:ascii="Cambria" w:hAnsi="Cambria"/>
          <w:color w:val="FF0000"/>
          <w:sz w:val="24"/>
          <w:szCs w:val="24"/>
        </w:rPr>
        <w:t>24</w:t>
      </w:r>
      <w:r>
        <w:rPr>
          <w:rFonts w:cs="Arial" w:ascii="Cambria" w:hAnsi="Cambria"/>
          <w:color w:val="FF0000"/>
          <w:sz w:val="24"/>
          <w:szCs w:val="24"/>
        </w:rPr>
        <w:t xml:space="preserve">, </w:t>
      </w:r>
      <w:r>
        <w:rPr>
          <w:rFonts w:cs="Arial" w:ascii="Cambria" w:hAnsi="Cambria"/>
          <w:b/>
          <w:color w:val="FF0000"/>
          <w:sz w:val="24"/>
          <w:szCs w:val="24"/>
        </w:rPr>
        <w:t>mais precisamente no período de 20 de agosto a 15 de setembro,</w:t>
      </w:r>
      <w:r>
        <w:rPr>
          <w:rFonts w:cs="Arial" w:ascii="Cambria" w:hAnsi="Cambria"/>
          <w:color w:val="FF0000"/>
          <w:sz w:val="24"/>
          <w:szCs w:val="24"/>
        </w:rPr>
        <w:t xml:space="preserve"> ou seja, após a formalização do pedido de registro e até do seu deferimento, de modo que restou configurada uma inelegibilidade superveniente ao registro, que somente pode ser atacada pode meio de Recurso Contra a Expedição de Diploma, nos termos do artigo 262, caput, do Código Eleitoral. </w:t>
      </w:r>
    </w:p>
    <w:p>
      <w:pPr>
        <w:pStyle w:val="Normal"/>
        <w:widowControl/>
        <w:suppressAutoHyphens w:val="true"/>
        <w:overflowPunct w:val="false"/>
        <w:bidi w:val="0"/>
        <w:spacing w:lineRule="auto" w:line="360" w:before="0" w:after="0"/>
        <w:ind w:left="0" w:right="0" w:firstLine="1701"/>
        <w:jc w:val="both"/>
        <w:rPr>
          <w:rFonts w:cs="Arial"/>
          <w:color w:val="FF0000"/>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color w:val="FF0000"/>
          <w:sz w:val="24"/>
          <w:szCs w:val="24"/>
        </w:rPr>
        <w:t xml:space="preserve">Por se tratar de inelegibilidade superveniente ao registro da candidatura, não há o que se falar em preclusão, porquanto o fato gerador da inelegibilidade não existia no momento adequado para impugnação do registro, cinco dias após a publicação do edital, que aconteceu no dia ___/___/____, vindo a surgir somente após o transcurso de tal prazo. Portanto, na fase do pedido de registro não havia elementos para a sua impugnação, o que veio se configurar a partir do dia </w:t>
      </w:r>
      <w:r>
        <w:rPr>
          <w:rFonts w:cs="Arial" w:ascii="Cambria" w:hAnsi="Cambria"/>
          <w:b/>
          <w:color w:val="FF0000"/>
          <w:sz w:val="24"/>
          <w:szCs w:val="24"/>
        </w:rPr>
        <w:t>20 de agosto até o dia 15 de setembro,</w:t>
      </w:r>
      <w:r>
        <w:rPr>
          <w:rFonts w:cs="Arial" w:ascii="Cambria" w:hAnsi="Cambria"/>
          <w:color w:val="FF0000"/>
          <w:sz w:val="24"/>
          <w:szCs w:val="24"/>
        </w:rPr>
        <w:t xml:space="preserve"> quando o recorrido exerceu de fato atividades inerentes ao cargo de  Secretário Municipal, não obstante não o exercesse de direito.</w:t>
      </w:r>
    </w:p>
    <w:p>
      <w:pPr>
        <w:pStyle w:val="Normal"/>
        <w:widowControl/>
        <w:suppressAutoHyphens w:val="true"/>
        <w:overflowPunct w:val="false"/>
        <w:bidi w:val="0"/>
        <w:spacing w:lineRule="auto" w:line="360" w:before="0" w:after="0"/>
        <w:ind w:left="0" w:right="0" w:firstLine="1701"/>
        <w:jc w:val="both"/>
        <w:rPr>
          <w:rFonts w:cs="Arial"/>
          <w:color w:val="FF0000"/>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sz w:val="24"/>
          <w:szCs w:val="24"/>
        </w:rPr>
        <w:t xml:space="preserve">Não havendo a desincompatibilização de fato, incide a inelegibilidade prevista no artigo 1º, inciso IV (ou VII), da Lei Complementar n.º 64/90, conforme entendimento do Tribunal Superior Eleitoral: </w:t>
      </w:r>
    </w:p>
    <w:p>
      <w:pPr>
        <w:pStyle w:val="Normal"/>
        <w:spacing w:lineRule="auto" w:line="360"/>
        <w:ind w:left="2610" w:hanging="15"/>
        <w:jc w:val="both"/>
        <w:rPr>
          <w:rFonts w:ascii="Cambria" w:hAnsi="Cambria" w:cs="Arial"/>
          <w:b/>
          <w:b/>
          <w:bCs/>
          <w:i/>
          <w:i/>
          <w:iCs/>
          <w:sz w:val="24"/>
          <w:szCs w:val="24"/>
        </w:rPr>
      </w:pPr>
      <w:r>
        <w:rPr>
          <w:rFonts w:cs="Arial" w:ascii="Cambria" w:hAnsi="Cambria"/>
          <w:b/>
          <w:bCs/>
          <w:i/>
          <w:iCs/>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cs="Arial"/>
          <w:b/>
          <w:b/>
          <w:bCs/>
          <w:i w:val="false"/>
          <w:i w:val="false"/>
          <w:iCs w:val="false"/>
          <w:sz w:val="22"/>
          <w:szCs w:val="22"/>
        </w:rPr>
      </w:pPr>
      <w:r>
        <w:rPr>
          <w:rFonts w:cs="Arial" w:ascii="Cambria" w:hAnsi="Cambria"/>
          <w:b/>
          <w:bCs/>
          <w:i w:val="false"/>
          <w:iCs w:val="false"/>
          <w:sz w:val="22"/>
          <w:szCs w:val="22"/>
        </w:rPr>
        <w:t>RECURSO CONTRA EXPEDIÇÃO DE DIPLOMA. ELEIÇÕES 2010. SUPLENTE DE DEPUTADO FEDERAL. AUSÊNCIA DE DESINCOMPATIBILIZAÇÃO DE FATO. PROVAS INSUFICIENTES. NÃO PROVIMENTO.</w:t>
      </w:r>
    </w:p>
    <w:p>
      <w:pPr>
        <w:pStyle w:val="Normal"/>
        <w:widowControl/>
        <w:suppressAutoHyphens w:val="true"/>
        <w:overflowPunct w:val="false"/>
        <w:bidi w:val="0"/>
        <w:spacing w:lineRule="auto" w:line="360" w:before="0" w:after="0"/>
        <w:ind w:left="2268" w:right="0" w:hanging="0"/>
        <w:jc w:val="both"/>
        <w:rPr>
          <w:rFonts w:ascii="Cambria" w:hAnsi="Cambria" w:cs="Arial"/>
          <w:bCs/>
          <w:i w:val="false"/>
          <w:i w:val="false"/>
          <w:iCs w:val="false"/>
          <w:sz w:val="22"/>
          <w:szCs w:val="22"/>
        </w:rPr>
      </w:pPr>
      <w:r>
        <w:rPr>
          <w:rFonts w:eastAsia="Arial" w:cs="Arial" w:ascii="Cambria" w:hAnsi="Cambria"/>
          <w:bCs/>
          <w:i w:val="false"/>
          <w:iCs w:val="false"/>
          <w:sz w:val="22"/>
          <w:szCs w:val="22"/>
        </w:rPr>
        <w:t xml:space="preserve"> </w:t>
      </w:r>
      <w:r>
        <w:rPr>
          <w:rFonts w:cs="Arial" w:ascii="Cambria" w:hAnsi="Cambria"/>
          <w:bCs/>
          <w:i w:val="false"/>
          <w:iCs w:val="false"/>
          <w:sz w:val="22"/>
          <w:szCs w:val="22"/>
        </w:rPr>
        <w:t>1. Em regra, a desincompatibilização, por se tratar de inelegibilidade infraconstitucional e preexistente ao registro de candidatura, deve ser arguida na fase de impugnação do registro, sob pena de preclusão, nos termos do art. 259 do Código Eleitoral. Precedentes.</w:t>
      </w:r>
    </w:p>
    <w:p>
      <w:pPr>
        <w:pStyle w:val="Normal"/>
        <w:widowControl/>
        <w:suppressAutoHyphens w:val="true"/>
        <w:overflowPunct w:val="false"/>
        <w:bidi w:val="0"/>
        <w:spacing w:lineRule="auto" w:line="360" w:before="0" w:after="0"/>
        <w:ind w:left="2268" w:right="0" w:hanging="0"/>
        <w:jc w:val="both"/>
        <w:rPr>
          <w:rFonts w:ascii="Cambria" w:hAnsi="Cambria" w:cs="Arial"/>
          <w:bCs/>
          <w:i w:val="false"/>
          <w:i w:val="false"/>
          <w:iCs w:val="false"/>
          <w:sz w:val="22"/>
          <w:szCs w:val="22"/>
        </w:rPr>
      </w:pPr>
      <w:r>
        <w:rPr>
          <w:rFonts w:eastAsia="Arial" w:cs="Arial" w:ascii="Cambria" w:hAnsi="Cambria"/>
          <w:bCs/>
          <w:i w:val="false"/>
          <w:iCs w:val="false"/>
          <w:sz w:val="22"/>
          <w:szCs w:val="22"/>
        </w:rPr>
        <w:t xml:space="preserve"> </w:t>
      </w:r>
      <w:r>
        <w:rPr>
          <w:rFonts w:cs="Arial" w:ascii="Cambria" w:hAnsi="Cambria"/>
          <w:bCs/>
          <w:i w:val="false"/>
          <w:iCs w:val="false"/>
          <w:sz w:val="22"/>
          <w:szCs w:val="22"/>
        </w:rPr>
        <w:t>2. Todavia, a ausência de desincompatibilização de fato pode ser suscitada em RCED, porquanto o candidato pode, após a fase de impugnação do registro, praticar atos inerentes ao cargo do qual tenha se desincompatibilizado apenas formalmente. Trata-se, pois, de situação superveniente ao registro de candidatura. O provimento do recurso, entretanto, fica condicionado à comprovação de que o exercício de fato do cargo tenha se dado após a fase de impugnação do registro de candidatura.</w:t>
      </w:r>
    </w:p>
    <w:p>
      <w:pPr>
        <w:pStyle w:val="Normal"/>
        <w:widowControl/>
        <w:suppressAutoHyphens w:val="true"/>
        <w:overflowPunct w:val="false"/>
        <w:bidi w:val="0"/>
        <w:spacing w:lineRule="auto" w:line="360" w:before="0" w:after="0"/>
        <w:ind w:left="2268" w:right="0" w:hanging="0"/>
        <w:jc w:val="both"/>
        <w:rPr>
          <w:rFonts w:ascii="Cambria" w:hAnsi="Cambria" w:cs="Arial"/>
          <w:bCs/>
          <w:i w:val="false"/>
          <w:i w:val="false"/>
          <w:iCs w:val="false"/>
          <w:sz w:val="22"/>
          <w:szCs w:val="22"/>
        </w:rPr>
      </w:pPr>
      <w:r>
        <w:rPr>
          <w:rFonts w:eastAsia="Arial" w:cs="Arial" w:ascii="Cambria" w:hAnsi="Cambria"/>
          <w:bCs/>
          <w:i w:val="false"/>
          <w:iCs w:val="false"/>
          <w:sz w:val="22"/>
          <w:szCs w:val="22"/>
        </w:rPr>
        <w:t xml:space="preserve"> </w:t>
      </w:r>
      <w:r>
        <w:rPr>
          <w:rFonts w:cs="Arial" w:ascii="Cambria" w:hAnsi="Cambria"/>
          <w:bCs/>
          <w:i w:val="false"/>
          <w:iCs w:val="false"/>
          <w:sz w:val="22"/>
          <w:szCs w:val="22"/>
        </w:rPr>
        <w:t>3. Na espécie, o acervo probatório acerca da suposta ausência de desincompatibilização de fato do recorrido é frágil.</w:t>
      </w:r>
    </w:p>
    <w:p>
      <w:pPr>
        <w:pStyle w:val="Normal"/>
        <w:widowControl/>
        <w:suppressAutoHyphens w:val="true"/>
        <w:overflowPunct w:val="false"/>
        <w:bidi w:val="0"/>
        <w:spacing w:lineRule="auto" w:line="360" w:before="0" w:after="0"/>
        <w:ind w:left="2268" w:right="0" w:hanging="0"/>
        <w:jc w:val="both"/>
        <w:rPr>
          <w:rFonts w:ascii="Cambria" w:hAnsi="Cambria" w:cs="Arial"/>
          <w:bCs/>
          <w:i w:val="false"/>
          <w:i w:val="false"/>
          <w:iCs w:val="false"/>
          <w:sz w:val="22"/>
          <w:szCs w:val="22"/>
        </w:rPr>
      </w:pPr>
      <w:r>
        <w:rPr>
          <w:rFonts w:eastAsia="Arial" w:cs="Arial" w:ascii="Cambria" w:hAnsi="Cambria"/>
          <w:bCs/>
          <w:i w:val="false"/>
          <w:iCs w:val="false"/>
          <w:sz w:val="22"/>
          <w:szCs w:val="22"/>
        </w:rPr>
        <w:t xml:space="preserve"> </w:t>
      </w:r>
      <w:r>
        <w:rPr>
          <w:rFonts w:cs="Arial" w:ascii="Cambria" w:hAnsi="Cambria"/>
          <w:bCs/>
          <w:i w:val="false"/>
          <w:iCs w:val="false"/>
          <w:sz w:val="22"/>
          <w:szCs w:val="22"/>
        </w:rPr>
        <w:t>4. Recurso contra expedição de diploma não provido.</w:t>
      </w:r>
    </w:p>
    <w:p>
      <w:pPr>
        <w:pStyle w:val="Normal"/>
        <w:widowControl/>
        <w:suppressAutoHyphens w:val="true"/>
        <w:overflowPunct w:val="false"/>
        <w:bidi w:val="0"/>
        <w:spacing w:lineRule="auto" w:line="360" w:before="0" w:after="0"/>
        <w:ind w:left="2268" w:right="0" w:hanging="0"/>
        <w:jc w:val="both"/>
        <w:rPr>
          <w:rFonts w:ascii="Cambria" w:hAnsi="Cambria" w:cs="Arial"/>
          <w:bCs/>
          <w:i w:val="false"/>
          <w:i w:val="false"/>
          <w:iCs w:val="false"/>
          <w:sz w:val="22"/>
          <w:szCs w:val="22"/>
        </w:rPr>
      </w:pPr>
      <w:r>
        <w:rPr>
          <w:rFonts w:cs="Arial" w:ascii="Cambria" w:hAnsi="Cambria"/>
          <w:bCs/>
          <w:i w:val="false"/>
          <w:iCs w:val="false"/>
          <w:sz w:val="22"/>
          <w:szCs w:val="22"/>
        </w:rPr>
        <w:t>(Recurso Contra Expedição de Diploma nº 1384, Acórdão de 06/03/2012, Relator(a) Min. FÁTIMA NANCY ANDRIGHI, Publicação: DJE - Diário de justiça eletrônico, Tomo 70, Data 16/04/2012, Página 25-26 ).</w:t>
      </w:r>
    </w:p>
    <w:p>
      <w:pPr>
        <w:pStyle w:val="Normal"/>
        <w:spacing w:lineRule="auto" w:line="360"/>
        <w:ind w:left="2610" w:hanging="15"/>
        <w:jc w:val="both"/>
        <w:rPr>
          <w:rFonts w:ascii="Cambria" w:hAnsi="Cambria" w:cs="Arial"/>
          <w:b/>
          <w:b/>
          <w:bCs/>
          <w:i/>
          <w:i/>
          <w:iCs/>
          <w:sz w:val="24"/>
          <w:szCs w:val="24"/>
        </w:rPr>
      </w:pPr>
      <w:r>
        <w:rPr>
          <w:rFonts w:cs="Arial" w:ascii="Cambria" w:hAnsi="Cambria"/>
          <w:b/>
          <w:bCs/>
          <w:i/>
          <w:iCs/>
          <w:sz w:val="24"/>
          <w:szCs w:val="24"/>
        </w:rPr>
      </w:r>
    </w:p>
    <w:p>
      <w:pPr>
        <w:pStyle w:val="Normal"/>
        <w:spacing w:lineRule="auto" w:line="360"/>
        <w:ind w:left="2610" w:hanging="15"/>
        <w:jc w:val="both"/>
        <w:rPr>
          <w:rFonts w:ascii="Cambria" w:hAnsi="Cambria" w:cs="Arial"/>
          <w:b/>
          <w:b/>
          <w:bCs/>
          <w:i/>
          <w:i/>
          <w:iCs/>
          <w:sz w:val="24"/>
          <w:szCs w:val="24"/>
        </w:rPr>
      </w:pPr>
      <w:r>
        <w:rPr>
          <w:rFonts w:cs="Arial" w:ascii="Cambria" w:hAnsi="Cambria"/>
          <w:b/>
          <w:bCs/>
          <w:i/>
          <w:iCs/>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cs="Arial"/>
          <w:b/>
          <w:b/>
          <w:bCs/>
          <w:i w:val="false"/>
          <w:i w:val="false"/>
          <w:iCs w:val="false"/>
          <w:sz w:val="22"/>
          <w:szCs w:val="22"/>
        </w:rPr>
      </w:pPr>
      <w:r>
        <w:rPr>
          <w:rFonts w:cs="Arial" w:ascii="Cambria" w:hAnsi="Cambria"/>
          <w:b/>
          <w:bCs/>
          <w:i w:val="false"/>
          <w:iCs w:val="false"/>
          <w:sz w:val="22"/>
          <w:szCs w:val="22"/>
        </w:rPr>
        <w:t>Eleições 2012. Registro de candidatura. Indeferimento. Desincompatibilização. Secretário Municipal. Afastamento de fato. Ausência.</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cs="Arial" w:ascii="Cambria" w:hAnsi="Cambria"/>
          <w:i w:val="false"/>
          <w:iCs w:val="false"/>
          <w:sz w:val="22"/>
          <w:szCs w:val="22"/>
        </w:rPr>
        <w:t>1. O Tribunal Regional Eleitoral concluiu que o candidato, secretário municipal, embora tenha requerido formalmente o afastamento do cargo, continuou a frequentar a secretaria e a realizar reuniões relacionadas à pasta com servidores, o que evidenciaria a falta de desincompatibilização, mantendo, assim, sua influência.</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eastAsia="Arial" w:cs="Arial" w:ascii="Cambria" w:hAnsi="Cambria"/>
          <w:i w:val="false"/>
          <w:iCs w:val="false"/>
          <w:sz w:val="22"/>
          <w:szCs w:val="22"/>
        </w:rPr>
        <w:t xml:space="preserve"> </w:t>
      </w:r>
      <w:r>
        <w:rPr>
          <w:rFonts w:cs="Arial" w:ascii="Cambria" w:hAnsi="Cambria"/>
          <w:i w:val="false"/>
          <w:iCs w:val="false"/>
          <w:sz w:val="22"/>
          <w:szCs w:val="22"/>
        </w:rPr>
        <w:t>2. Para afastar a conclusão do acórdão regional no sentido de que o candidato permaneceu atuando na secretaria em que exercia suas funções seria necessário o reexame do contexto fático-probatório, vedado em sede de recurso de natureza extraordinária, nos termos das Súmulas nos 7 do STJ e 279 do STF.</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eastAsia="Arial" w:cs="Arial" w:ascii="Cambria" w:hAnsi="Cambria"/>
          <w:i w:val="false"/>
          <w:iCs w:val="false"/>
          <w:sz w:val="22"/>
          <w:szCs w:val="22"/>
        </w:rPr>
        <w:t xml:space="preserve"> </w:t>
      </w:r>
      <w:r>
        <w:rPr>
          <w:rFonts w:cs="Arial" w:ascii="Cambria" w:hAnsi="Cambria"/>
          <w:i w:val="false"/>
          <w:iCs w:val="false"/>
          <w:sz w:val="22"/>
          <w:szCs w:val="22"/>
        </w:rPr>
        <w:t>3. A jurisprudência do Tribunal Superior Eleitoral é pacífica no sentido de que, para fins de desincompatibilização, é exigido o afastamento de fato do candidato de suas funções.</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eastAsia="Arial" w:cs="Arial" w:ascii="Cambria" w:hAnsi="Cambria"/>
          <w:i w:val="false"/>
          <w:iCs w:val="false"/>
          <w:sz w:val="22"/>
          <w:szCs w:val="22"/>
        </w:rPr>
        <w:t xml:space="preserve"> </w:t>
      </w:r>
      <w:r>
        <w:rPr>
          <w:rFonts w:cs="Arial" w:ascii="Cambria" w:hAnsi="Cambria"/>
          <w:i w:val="false"/>
          <w:iCs w:val="false"/>
          <w:sz w:val="22"/>
          <w:szCs w:val="22"/>
        </w:rPr>
        <w:t>Agravo regimental a que se nega provimento.</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cs="Arial" w:ascii="Cambria" w:hAnsi="Cambria"/>
          <w:i w:val="false"/>
          <w:iCs w:val="false"/>
          <w:sz w:val="22"/>
          <w:szCs w:val="22"/>
        </w:rPr>
        <w:t>(Agravo Regimental em Recurso Especial Eleitoral nº 82074, Acórdão de 02/04/2013, Relator(a) Min. HENRIQUE NEVES DA SILVA, Publicação: DJE - Diário de justiça eletrônico, Tomo 81, Data 02/05/2013, Página 58-59).</w:t>
      </w:r>
    </w:p>
    <w:p>
      <w:pPr>
        <w:pStyle w:val="Normal"/>
        <w:spacing w:lineRule="auto" w:line="360"/>
        <w:ind w:left="2610" w:hanging="15"/>
        <w:jc w:val="both"/>
        <w:rPr>
          <w:rFonts w:ascii="Cambria" w:hAnsi="Cambria" w:cs="Arial"/>
          <w:i/>
          <w:i/>
          <w:iCs/>
          <w:sz w:val="24"/>
          <w:szCs w:val="24"/>
        </w:rPr>
      </w:pPr>
      <w:r>
        <w:rPr>
          <w:rFonts w:cs="Arial" w:ascii="Cambria" w:hAnsi="Cambria"/>
          <w:i/>
          <w:iCs/>
          <w:sz w:val="24"/>
          <w:szCs w:val="24"/>
        </w:rPr>
      </w:r>
    </w:p>
    <w:p>
      <w:pPr>
        <w:pStyle w:val="Normal"/>
        <w:widowControl/>
        <w:suppressAutoHyphens w:val="true"/>
        <w:overflowPunct w:val="false"/>
        <w:bidi w:val="0"/>
        <w:spacing w:lineRule="auto" w:line="360" w:before="0" w:after="0"/>
        <w:ind w:left="2268" w:right="0" w:hanging="0"/>
        <w:jc w:val="both"/>
        <w:rPr>
          <w:rFonts w:ascii="Cambria" w:hAnsi="Cambria" w:cs="Arial"/>
          <w:b/>
          <w:b/>
          <w:bCs/>
          <w:i w:val="false"/>
          <w:i w:val="false"/>
          <w:iCs w:val="false"/>
          <w:sz w:val="22"/>
          <w:szCs w:val="22"/>
        </w:rPr>
      </w:pPr>
      <w:r>
        <w:rPr>
          <w:rFonts w:cs="Arial" w:ascii="Cambria" w:hAnsi="Cambria"/>
          <w:b/>
          <w:bCs/>
          <w:i w:val="false"/>
          <w:iCs w:val="false"/>
          <w:sz w:val="22"/>
          <w:szCs w:val="22"/>
        </w:rPr>
        <w:t xml:space="preserve">Registro. Servidor público. Desincompatibilização. </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cs="Arial" w:ascii="Cambria" w:hAnsi="Cambria"/>
          <w:i w:val="false"/>
          <w:iCs w:val="false"/>
          <w:sz w:val="22"/>
          <w:szCs w:val="22"/>
        </w:rPr>
        <w:t xml:space="preserve">- Não tendo o candidato se afastado de fato de seu cargo público no prazo legal, deve ser indeferido o seu registro de candidatura, em razão da causa de inelegibilidade prevista no art. 1, II, 1, da Lei Complementar n° 64190. </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cs="Arial" w:ascii="Cambria" w:hAnsi="Cambria"/>
          <w:i w:val="false"/>
          <w:iCs w:val="false"/>
          <w:sz w:val="22"/>
          <w:szCs w:val="22"/>
        </w:rPr>
        <w:t xml:space="preserve">Agravo regimental não provido. </w:t>
      </w:r>
    </w:p>
    <w:p>
      <w:pPr>
        <w:pStyle w:val="Normal"/>
        <w:widowControl/>
        <w:suppressAutoHyphens w:val="true"/>
        <w:overflowPunct w:val="false"/>
        <w:bidi w:val="0"/>
        <w:spacing w:lineRule="auto" w:line="360" w:before="0" w:after="0"/>
        <w:ind w:left="2268" w:right="0" w:hanging="0"/>
        <w:jc w:val="both"/>
        <w:rPr>
          <w:rFonts w:ascii="Cambria" w:hAnsi="Cambria" w:cs="Arial"/>
          <w:i w:val="false"/>
          <w:i w:val="false"/>
          <w:iCs w:val="false"/>
          <w:sz w:val="22"/>
          <w:szCs w:val="22"/>
        </w:rPr>
      </w:pPr>
      <w:r>
        <w:rPr>
          <w:rFonts w:cs="Arial" w:ascii="Cambria" w:hAnsi="Cambria"/>
          <w:i w:val="false"/>
          <w:iCs w:val="false"/>
          <w:sz w:val="22"/>
          <w:szCs w:val="22"/>
        </w:rPr>
        <w:t>(AgR-REspe n° 110-40/PE, rei. Mm. Arnaldo Versiani, PSESS em 25.10.2012.)</w:t>
      </w:r>
    </w:p>
    <w:p>
      <w:pPr>
        <w:pStyle w:val="Normal"/>
        <w:jc w:val="both"/>
        <w:rPr>
          <w:rFonts w:ascii="Cambria" w:hAnsi="Cambria" w:cs="Arial"/>
          <w:sz w:val="24"/>
          <w:szCs w:val="24"/>
        </w:rPr>
      </w:pPr>
      <w:r>
        <w:rPr>
          <w:rFonts w:cs="Arial" w:ascii="Cambria" w:hAnsi="Cambria"/>
          <w:sz w:val="24"/>
          <w:szCs w:val="24"/>
        </w:rPr>
      </w:r>
    </w:p>
    <w:p>
      <w:pPr>
        <w:pStyle w:val="Normal"/>
        <w:rPr>
          <w:rFonts w:ascii="Cambria" w:hAnsi="Cambria" w:cs="Arial"/>
          <w:sz w:val="24"/>
          <w:szCs w:val="24"/>
        </w:rPr>
      </w:pPr>
      <w:r>
        <w:rPr>
          <w:rFonts w:cs="Arial" w:ascii="Cambria" w:hAnsi="Cambria"/>
          <w:sz w:val="24"/>
          <w:szCs w:val="24"/>
        </w:rPr>
      </w:r>
    </w:p>
    <w:p>
      <w:pPr>
        <w:pStyle w:val="Normal"/>
        <w:spacing w:lineRule="auto" w:line="360"/>
        <w:jc w:val="both"/>
        <w:rPr>
          <w:rFonts w:ascii="Cambria" w:hAnsi="Cambria"/>
          <w:sz w:val="24"/>
          <w:szCs w:val="24"/>
        </w:rPr>
      </w:pPr>
      <w:r>
        <w:rPr>
          <w:rFonts w:cs="Arial" w:ascii="Cambria" w:hAnsi="Cambria"/>
          <w:b/>
          <w:color w:val="000000"/>
          <w:sz w:val="24"/>
          <w:szCs w:val="24"/>
          <w:lang w:bidi="zxx"/>
        </w:rPr>
        <w:t>3 Dos Pedidos</w:t>
      </w:r>
    </w:p>
    <w:p>
      <w:pPr>
        <w:pStyle w:val="Normal"/>
        <w:spacing w:lineRule="auto" w:line="360"/>
        <w:jc w:val="both"/>
        <w:rPr>
          <w:rFonts w:cs="Arial"/>
          <w:b/>
          <w:b/>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b w:val="false"/>
          <w:bCs w:val="false"/>
          <w:color w:val="000000"/>
          <w:sz w:val="24"/>
          <w:szCs w:val="24"/>
          <w:lang w:bidi="zxx"/>
        </w:rPr>
        <w:t xml:space="preserve">Ante o exposto, o </w:t>
      </w:r>
      <w:r>
        <w:rPr>
          <w:rFonts w:cs="Arial" w:ascii="Cambria" w:hAnsi="Cambria"/>
          <w:b/>
          <w:bCs/>
          <w:color w:val="000000"/>
          <w:sz w:val="24"/>
          <w:szCs w:val="24"/>
          <w:lang w:bidi="zxx"/>
        </w:rPr>
        <w:t>Ministério Público Eleitoral</w:t>
      </w:r>
      <w:r>
        <w:rPr>
          <w:rFonts w:cs="Arial" w:ascii="Cambria" w:hAnsi="Cambria"/>
          <w:b w:val="false"/>
          <w:bCs w:val="false"/>
          <w:color w:val="000000"/>
          <w:sz w:val="24"/>
          <w:szCs w:val="24"/>
          <w:lang w:bidi="zxx"/>
        </w:rPr>
        <w:t xml:space="preserve"> requer:</w:t>
      </w:r>
    </w:p>
    <w:p>
      <w:pPr>
        <w:pStyle w:val="Normal"/>
        <w:widowControl/>
        <w:suppressAutoHyphens w:val="true"/>
        <w:overflowPunct w:val="false"/>
        <w:bidi w:val="0"/>
        <w:spacing w:lineRule="auto" w:line="360" w:before="0" w:after="0"/>
        <w:ind w:left="0" w:right="0" w:firstLine="1701"/>
        <w:jc w:val="both"/>
        <w:rPr>
          <w:rFonts w:eastAsia="Arial" w:cs="Arial"/>
          <w:b w:val="false"/>
          <w:b w:val="false"/>
          <w:bCs w:val="false"/>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b w:val="false"/>
          <w:bCs w:val="false"/>
          <w:color w:val="000000"/>
          <w:sz w:val="24"/>
          <w:szCs w:val="24"/>
          <w:lang w:bidi="zxx"/>
        </w:rPr>
        <w:t>a)</w:t>
      </w:r>
      <w:r>
        <w:rPr>
          <w:rFonts w:eastAsia="Arial" w:cs="Arial" w:ascii="Cambria" w:hAnsi="Cambria"/>
          <w:sz w:val="24"/>
          <w:szCs w:val="24"/>
        </w:rPr>
        <w:t xml:space="preserve"> </w:t>
      </w:r>
      <w:r>
        <w:rPr>
          <w:rFonts w:cs="Arial" w:ascii="Cambria" w:hAnsi="Cambria"/>
          <w:sz w:val="24"/>
          <w:szCs w:val="24"/>
        </w:rPr>
        <w:t>seja o recorrido intimado a fim de apresentar as contrarrazões, se assim o desejar;</w:t>
      </w:r>
    </w:p>
    <w:p>
      <w:pPr>
        <w:pStyle w:val="Normal"/>
        <w:widowControl/>
        <w:suppressAutoHyphens w:val="true"/>
        <w:overflowPunct w:val="false"/>
        <w:bidi w:val="0"/>
        <w:spacing w:lineRule="auto" w:line="360" w:before="0" w:after="0"/>
        <w:ind w:left="0" w:right="0" w:firstLine="1701"/>
        <w:jc w:val="both"/>
        <w:rPr>
          <w:rFonts w:eastAsia="Arial" w:cs="Arial"/>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sz w:val="24"/>
          <w:szCs w:val="24"/>
        </w:rPr>
        <w:t>b)</w:t>
      </w:r>
      <w:r>
        <w:rPr>
          <w:rFonts w:eastAsia="Arial" w:cs="Arial" w:ascii="Cambria" w:hAnsi="Cambria"/>
          <w:sz w:val="24"/>
          <w:szCs w:val="24"/>
        </w:rPr>
        <w:t xml:space="preserve"> </w:t>
      </w:r>
      <w:r>
        <w:rPr>
          <w:rFonts w:cs="Arial" w:ascii="Cambria" w:hAnsi="Cambria"/>
          <w:b w:val="false"/>
          <w:bCs w:val="false"/>
          <w:sz w:val="24"/>
          <w:szCs w:val="24"/>
        </w:rPr>
        <w:t>seja o presente</w:t>
      </w:r>
      <w:r>
        <w:rPr>
          <w:rFonts w:cs="Arial" w:ascii="Cambria" w:hAnsi="Cambria"/>
          <w:b/>
          <w:bCs/>
          <w:sz w:val="24"/>
          <w:szCs w:val="24"/>
        </w:rPr>
        <w:t xml:space="preserve"> recurso conhecido e provido para cassar o diploma de VEREADOR conferido ao Sr. Fulano de </w:t>
      </w:r>
      <w:r>
        <w:rPr>
          <w:rFonts w:cs="Arial" w:ascii="Cambria" w:hAnsi="Cambria"/>
          <w:b/>
          <w:bCs/>
          <w:sz w:val="24"/>
          <w:szCs w:val="24"/>
        </w:rPr>
        <w:t>T</w:t>
      </w:r>
      <w:r>
        <w:rPr>
          <w:rFonts w:cs="Arial" w:ascii="Cambria" w:hAnsi="Cambria"/>
          <w:b/>
          <w:bCs/>
          <w:sz w:val="24"/>
          <w:szCs w:val="24"/>
        </w:rPr>
        <w:t>al</w:t>
      </w:r>
      <w:r>
        <w:rPr>
          <w:rFonts w:cs="Arial" w:ascii="Cambria" w:hAnsi="Cambria"/>
          <w:b w:val="false"/>
          <w:bCs w:val="false"/>
          <w:sz w:val="24"/>
          <w:szCs w:val="24"/>
        </w:rPr>
        <w:t>, como consequência do reconhecimento da incidência, superveniente ao registro, da causa de inelegibilidade prevista no art. 1.º, VII, alínea e da Lei Complementar 64/90;</w:t>
      </w:r>
    </w:p>
    <w:p>
      <w:pPr>
        <w:pStyle w:val="Normal"/>
        <w:widowControl/>
        <w:suppressAutoHyphens w:val="true"/>
        <w:overflowPunct w:val="false"/>
        <w:bidi w:val="0"/>
        <w:spacing w:lineRule="auto" w:line="360" w:before="0" w:after="0"/>
        <w:ind w:left="0" w:right="0" w:firstLine="1701"/>
        <w:jc w:val="both"/>
        <w:rPr>
          <w:rFonts w:eastAsia="Arial" w:cs="Arial"/>
          <w:b w:val="false"/>
          <w:b w:val="false"/>
          <w:bCs w:val="false"/>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b w:val="false"/>
          <w:bCs w:val="false"/>
          <w:color w:val="000000"/>
          <w:sz w:val="24"/>
          <w:szCs w:val="24"/>
          <w:lang w:bidi="zxx"/>
        </w:rPr>
        <w:t>c)</w:t>
      </w:r>
      <w:r>
        <w:rPr>
          <w:rFonts w:eastAsia="Arial" w:cs="Arial" w:ascii="Cambria" w:hAnsi="Cambria"/>
          <w:color w:val="000000"/>
          <w:sz w:val="24"/>
          <w:szCs w:val="24"/>
          <w:lang w:bidi="zxx"/>
        </w:rPr>
        <w:t xml:space="preserve"> </w:t>
      </w:r>
      <w:r>
        <w:rPr>
          <w:rFonts w:cs="Arial" w:ascii="Cambria" w:hAnsi="Cambria"/>
          <w:color w:val="000000"/>
          <w:sz w:val="24"/>
          <w:szCs w:val="24"/>
          <w:lang w:bidi="zxx"/>
        </w:rPr>
        <w:t>sejam juntadas a este recurso as cópias dos documentos obtidos em ________  (procedimento preparatório eleitoral ou outra fonte); e</w:t>
      </w:r>
    </w:p>
    <w:p>
      <w:pPr>
        <w:pStyle w:val="Normal"/>
        <w:widowControl/>
        <w:suppressAutoHyphens w:val="true"/>
        <w:overflowPunct w:val="false"/>
        <w:bidi w:val="0"/>
        <w:spacing w:lineRule="auto" w:line="360" w:before="0" w:after="0"/>
        <w:ind w:left="0" w:right="0" w:firstLine="1701"/>
        <w:jc w:val="both"/>
        <w:rPr>
          <w:rFonts w:eastAsia="Arial" w:cs="Arial"/>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color w:val="000000"/>
          <w:sz w:val="24"/>
          <w:szCs w:val="24"/>
          <w:lang w:bidi="zxx"/>
        </w:rPr>
        <w:t>d)</w:t>
      </w:r>
      <w:r>
        <w:rPr>
          <w:rFonts w:eastAsia="Arial" w:cs="Arial" w:ascii="Cambria" w:hAnsi="Cambria"/>
          <w:color w:val="000000"/>
          <w:sz w:val="24"/>
          <w:szCs w:val="24"/>
          <w:lang w:bidi="zxx"/>
        </w:rPr>
        <w:t xml:space="preserve"> </w:t>
      </w:r>
      <w:r>
        <w:rPr>
          <w:rFonts w:cs="Arial" w:ascii="Cambria" w:hAnsi="Cambria"/>
          <w:color w:val="000000"/>
          <w:sz w:val="24"/>
          <w:szCs w:val="24"/>
          <w:lang w:bidi="zxx"/>
        </w:rPr>
        <w:t xml:space="preserve">por </w:t>
      </w:r>
      <w:r>
        <w:rPr>
          <w:rFonts w:cs="Arial" w:ascii="Cambria" w:hAnsi="Cambria"/>
          <w:color w:val="000000"/>
          <w:sz w:val="24"/>
          <w:szCs w:val="24"/>
          <w:lang w:bidi="zxx"/>
        </w:rPr>
        <w:t>fim</w:t>
      </w:r>
      <w:r>
        <w:rPr>
          <w:rFonts w:cs="Arial" w:ascii="Cambria" w:hAnsi="Cambria"/>
          <w:color w:val="000000"/>
          <w:sz w:val="24"/>
          <w:szCs w:val="24"/>
          <w:lang w:bidi="zxx"/>
        </w:rPr>
        <w:t xml:space="preserve">, caso seja necessário, provar o alegado por todos os meios de provas admitidos em direito, inclusive depoimento pessoal do recorrido, oitiva das testemunhas a seguir arroladas, bem como perícia e juntada de documentos a </w:t>
      </w:r>
      <w:r>
        <w:rPr>
          <w:rFonts w:cs="Arial" w:ascii="Cambria" w:hAnsi="Cambria"/>
          <w:i/>
          <w:iCs/>
          <w:color w:val="000000"/>
          <w:sz w:val="24"/>
          <w:szCs w:val="24"/>
          <w:lang w:bidi="zxx"/>
        </w:rPr>
        <w:t>posteriori</w:t>
      </w:r>
      <w:r>
        <w:rPr>
          <w:rFonts w:cs="Arial" w:ascii="Cambria" w:hAnsi="Cambria"/>
          <w:color w:val="000000"/>
          <w:sz w:val="24"/>
          <w:szCs w:val="24"/>
          <w:lang w:bidi="zxx"/>
        </w:rPr>
        <w:t>.</w:t>
      </w:r>
    </w:p>
    <w:p>
      <w:pPr>
        <w:pStyle w:val="ListParagraph"/>
        <w:tabs>
          <w:tab w:val="clear" w:pos="708"/>
          <w:tab w:val="left" w:pos="2268" w:leader="none"/>
        </w:tabs>
        <w:spacing w:lineRule="auto" w:line="360"/>
        <w:ind w:left="0" w:right="0" w:hanging="0"/>
        <w:jc w:val="both"/>
        <w:rPr>
          <w:rFonts w:cs="Arial"/>
          <w:color w:val="000000"/>
          <w:lang w:bidi="zxx"/>
        </w:rPr>
      </w:pPr>
      <w:r>
        <w:rPr>
          <w:rFonts w:ascii="Cambria" w:hAnsi="Cambria"/>
          <w:sz w:val="24"/>
          <w:szCs w:val="24"/>
        </w:rPr>
      </w:r>
    </w:p>
    <w:p>
      <w:pPr>
        <w:pStyle w:val="Recuodecorpodetexto21"/>
        <w:widowControl/>
        <w:suppressAutoHyphens w:val="true"/>
        <w:overflowPunct w:val="false"/>
        <w:bidi w:val="0"/>
        <w:spacing w:lineRule="atLeast" w:line="100" w:before="0" w:after="0"/>
        <w:ind w:left="0" w:right="0" w:firstLine="1701"/>
        <w:jc w:val="both"/>
        <w:rPr>
          <w:rFonts w:ascii="Cambria" w:hAnsi="Cambria" w:cs="Arial"/>
          <w:color w:val="000000"/>
          <w:sz w:val="24"/>
          <w:szCs w:val="24"/>
        </w:rPr>
      </w:pPr>
      <w:r>
        <w:rPr>
          <w:rFonts w:cs="Arial" w:ascii="Cambria" w:hAnsi="Cambria"/>
          <w:color w:val="000000"/>
          <w:sz w:val="24"/>
          <w:szCs w:val="24"/>
        </w:rPr>
        <w:t>ROL DE TESTEMUNHAS (se for o caso):</w:t>
      </w:r>
    </w:p>
    <w:p>
      <w:pPr>
        <w:pStyle w:val="Recuodecorpodetexto21"/>
        <w:widowControl/>
        <w:suppressAutoHyphens w:val="true"/>
        <w:overflowPunct w:val="false"/>
        <w:bidi w:val="0"/>
        <w:spacing w:lineRule="atLeast" w:line="100" w:before="0" w:after="0"/>
        <w:ind w:left="0" w:right="0" w:firstLine="1701"/>
        <w:jc w:val="both"/>
        <w:rPr>
          <w:rFonts w:ascii="Cambria" w:hAnsi="Cambria" w:cs="Arial"/>
          <w:color w:val="000000"/>
          <w:sz w:val="24"/>
          <w:szCs w:val="24"/>
        </w:rPr>
      </w:pPr>
      <w:r>
        <w:rPr>
          <w:rFonts w:cs="Arial" w:ascii="Cambria" w:hAnsi="Cambria"/>
          <w:color w:val="000000"/>
          <w:sz w:val="24"/>
          <w:szCs w:val="24"/>
        </w:rPr>
        <w:t xml:space="preserve">1 – </w:t>
      </w:r>
    </w:p>
    <w:p>
      <w:pPr>
        <w:pStyle w:val="Recuodecorpodetexto21"/>
        <w:widowControl/>
        <w:tabs>
          <w:tab w:val="clear" w:pos="0"/>
          <w:tab w:val="left" w:pos="2268" w:leader="none"/>
        </w:tabs>
        <w:suppressAutoHyphens w:val="true"/>
        <w:overflowPunct w:val="false"/>
        <w:bidi w:val="0"/>
        <w:spacing w:lineRule="atLeast" w:line="100" w:before="0" w:after="0"/>
        <w:ind w:left="0" w:right="0" w:firstLine="1701"/>
        <w:jc w:val="both"/>
        <w:rPr>
          <w:rFonts w:ascii="Cambria" w:hAnsi="Cambria" w:cs="Arial"/>
          <w:color w:val="000000"/>
          <w:sz w:val="24"/>
          <w:szCs w:val="24"/>
        </w:rPr>
      </w:pPr>
      <w:r>
        <w:rPr>
          <w:rFonts w:cs="Arial" w:ascii="Cambria" w:hAnsi="Cambria"/>
          <w:color w:val="000000"/>
          <w:sz w:val="24"/>
          <w:szCs w:val="24"/>
          <w:lang w:bidi="zxx"/>
        </w:rPr>
        <w:t xml:space="preserve">2 – </w:t>
      </w:r>
    </w:p>
    <w:p>
      <w:pPr>
        <w:pStyle w:val="ListParagraph"/>
        <w:spacing w:lineRule="auto" w:line="360" w:before="113" w:after="113"/>
        <w:ind w:left="0" w:right="0" w:firstLine="1134"/>
        <w:jc w:val="both"/>
        <w:rPr>
          <w:rFonts w:ascii="Cambria" w:hAnsi="Cambria" w:cs="Arial"/>
          <w:color w:val="000000"/>
          <w:sz w:val="24"/>
          <w:szCs w:val="24"/>
          <w:lang w:bidi="zxx"/>
        </w:rPr>
      </w:pPr>
      <w:r>
        <w:rPr>
          <w:rFonts w:cs="Arial" w:ascii="Cambria" w:hAnsi="Cambria"/>
          <w:color w:val="000000"/>
          <w:sz w:val="24"/>
          <w:szCs w:val="24"/>
          <w:lang w:bidi="zxx"/>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cs="Arial"/>
          <w:sz w:val="24"/>
          <w:szCs w:val="24"/>
        </w:rPr>
      </w:pPr>
      <w:r>
        <w:rPr>
          <w:rFonts w:cs="Arial" w:ascii="Cambria" w:hAnsi="Cambria"/>
          <w:b/>
          <w:bCs/>
          <w:color w:val="000000"/>
          <w:sz w:val="24"/>
          <w:szCs w:val="24"/>
          <w:lang w:bidi="zxx"/>
        </w:rPr>
        <w:t>Promotor(a) Eleitoral</w:t>
      </w:r>
    </w:p>
    <w:p>
      <w:pPr>
        <w:pStyle w:val="Recuodecorpodetexto21"/>
        <w:spacing w:lineRule="atLeast" w:line="100"/>
        <w:ind w:left="0" w:right="0" w:hanging="0"/>
        <w:jc w:val="center"/>
        <w:rPr>
          <w:rFonts w:ascii="Cambria" w:hAnsi="Cambria" w:cs="Arial"/>
          <w:sz w:val="24"/>
          <w:szCs w:val="24"/>
        </w:rPr>
      </w:pPr>
      <w:r>
        <w:rPr>
          <w:rFonts w:cs="Arial" w:ascii="Cambria" w:hAnsi="Cambria"/>
          <w:sz w:val="24"/>
          <w:szCs w:val="24"/>
        </w:rPr>
      </w:r>
    </w:p>
    <w:p>
      <w:pPr>
        <w:pStyle w:val="Recuodecorpodetexto21"/>
        <w:spacing w:lineRule="atLeast" w:line="100"/>
        <w:ind w:left="0" w:right="0" w:hanging="0"/>
        <w:jc w:val="center"/>
        <w:rPr>
          <w:rFonts w:ascii="Cambria" w:hAnsi="Cambria" w:cs="Arial"/>
          <w:sz w:val="24"/>
          <w:szCs w:val="24"/>
        </w:rPr>
      </w:pPr>
      <w:r>
        <w:rPr>
          <w:rFonts w:cs="Arial" w:ascii="Cambria" w:hAnsi="Cambria"/>
          <w:sz w:val="24"/>
          <w:szCs w:val="24"/>
        </w:rPr>
      </w:r>
    </w:p>
    <w:p>
      <w:pPr>
        <w:pStyle w:val="Recuodecorpodetexto21"/>
        <w:spacing w:lineRule="atLeast" w:line="100"/>
        <w:ind w:left="0" w:right="0" w:hanging="0"/>
        <w:jc w:val="center"/>
        <w:rPr>
          <w:rFonts w:ascii="Cambria" w:hAnsi="Cambria" w:cs="Arial"/>
          <w:color w:val="FF0000"/>
          <w:sz w:val="24"/>
          <w:szCs w:val="24"/>
        </w:rPr>
      </w:pPr>
      <w:r>
        <w:rPr>
          <w:rFonts w:cs="Arial" w:ascii="Cambria" w:hAnsi="Cambria"/>
          <w:color w:val="FF0000"/>
          <w:sz w:val="24"/>
          <w:szCs w:val="24"/>
        </w:rPr>
      </w:r>
    </w:p>
    <w:p>
      <w:pPr>
        <w:pStyle w:val="Recuodecorpodetexto21"/>
        <w:spacing w:lineRule="atLeast" w:line="100"/>
        <w:ind w:left="0" w:right="0" w:hanging="0"/>
        <w:jc w:val="center"/>
        <w:rPr>
          <w:rFonts w:ascii="Cambria" w:hAnsi="Cambria" w:cs="Arial"/>
          <w:color w:val="FF0000"/>
          <w:sz w:val="24"/>
          <w:szCs w:val="24"/>
        </w:rPr>
      </w:pPr>
      <w:r>
        <w:rPr>
          <w:rFonts w:cs="Arial" w:ascii="Cambria" w:hAnsi="Cambria"/>
          <w:color w:val="FF0000"/>
          <w:sz w:val="24"/>
          <w:szCs w:val="24"/>
        </w:rPr>
      </w:r>
    </w:p>
    <w:p>
      <w:pPr>
        <w:pStyle w:val="Recuodecorpodetexto21"/>
        <w:spacing w:lineRule="atLeast" w:line="100"/>
        <w:ind w:left="0" w:right="0" w:hanging="0"/>
        <w:jc w:val="center"/>
        <w:rPr>
          <w:rFonts w:ascii="Cambria" w:hAnsi="Cambria" w:cs="Arial"/>
          <w:color w:val="FF0000"/>
          <w:sz w:val="24"/>
          <w:szCs w:val="24"/>
        </w:rPr>
      </w:pPr>
      <w:r>
        <w:rPr>
          <w:rFonts w:cs="Arial" w:ascii="Cambria" w:hAnsi="Cambria"/>
          <w:color w:val="FF0000"/>
          <w:sz w:val="24"/>
          <w:szCs w:val="24"/>
        </w:rPr>
      </w:r>
    </w:p>
    <w:p>
      <w:pPr>
        <w:pStyle w:val="Recuodecorpodetexto21"/>
        <w:spacing w:lineRule="atLeast" w:line="100"/>
        <w:ind w:left="0" w:right="0" w:hanging="0"/>
        <w:rPr>
          <w:rFonts w:ascii="Cambria" w:hAnsi="Cambria" w:cs="Arial"/>
          <w:color w:val="FF0000"/>
          <w:sz w:val="24"/>
          <w:szCs w:val="24"/>
        </w:rPr>
      </w:pPr>
      <w:r>
        <w:rPr>
          <w:rFonts w:cs="Arial" w:ascii="Cambria" w:hAnsi="Cambria"/>
          <w:color w:val="FF0000"/>
          <w:sz w:val="24"/>
          <w:szCs w:val="24"/>
        </w:rPr>
      </w:r>
    </w:p>
    <w:p>
      <w:pPr>
        <w:pStyle w:val="Recuodecorpodetexto21"/>
        <w:widowControl/>
        <w:suppressAutoHyphens w:val="true"/>
        <w:overflowPunct w:val="false"/>
        <w:bidi w:val="0"/>
        <w:spacing w:lineRule="atLeast" w:line="100" w:before="0" w:after="0"/>
        <w:ind w:left="0" w:right="0" w:hanging="0"/>
        <w:jc w:val="center"/>
        <w:rPr>
          <w:rFonts w:cs="Arial"/>
          <w:b/>
          <w:b/>
          <w:bCs/>
          <w:color w:val="000000"/>
          <w:sz w:val="24"/>
          <w:szCs w:val="24"/>
        </w:rPr>
      </w:pPr>
      <w:r>
        <w:rPr>
          <w:rFonts w:cs="Arial" w:ascii="Cambria" w:hAnsi="Cambria"/>
          <w:color w:val="FF0000"/>
          <w:sz w:val="24"/>
          <w:szCs w:val="24"/>
        </w:rPr>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Arial" w:hAnsi="Arial" w:cs="Arial"/>
      <w:color w:val="000000"/>
      <w:lang w:bidi="zxx"/>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Recuodecorpodetexto21">
    <w:name w:val="Recuo de corpo de texto 21"/>
    <w:basedOn w:val="Normal"/>
    <w:qFormat/>
    <w:pPr>
      <w:tabs>
        <w:tab w:val="clear" w:pos="708"/>
        <w:tab w:val="left" w:pos="0" w:leader="none"/>
      </w:tabs>
      <w:suppressAutoHyphens w:val="true"/>
      <w:spacing w:lineRule="auto" w:line="360"/>
      <w:ind w:left="0" w:right="0" w:firstLine="851"/>
      <w:jc w:val="both"/>
    </w:pPr>
    <w:rPr>
      <w:sz w:val="23"/>
    </w:rPr>
  </w:style>
  <w:style w:type="paragraph" w:styleId="Contedodatabela">
    <w:name w:val="Conteúdo da tabela"/>
    <w:basedOn w:val="Normal"/>
    <w:qFormat/>
    <w:pPr>
      <w:suppressLineNumbers/>
      <w:suppressAutoHyphens w:val="true"/>
    </w:pPr>
    <w:rPr/>
  </w:style>
  <w:style w:type="paragraph" w:styleId="ListParagraph">
    <w:name w:val="List Paragraph"/>
    <w:basedOn w:val="Normal"/>
    <w:qFormat/>
    <w:pPr>
      <w:suppressAutoHyphens w:val="true"/>
      <w:spacing w:lineRule="atLeast" w:line="100"/>
      <w:ind w:left="720" w:right="0" w:hanging="0"/>
    </w:pPr>
    <w:rPr>
      <w:rFonts w:eastAsia="Lucida Sans Unicode" w:cs="Tahoma"/>
      <w:kern w:val="2"/>
      <w:sz w:val="24"/>
      <w:szCs w:val="24"/>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8</Pages>
  <Words>1744</Words>
  <Characters>9904</Characters>
  <CharactersWithSpaces>11613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2023-06-13T12:00:06Z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