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Times New Roman;Times New Roman PSMT"/>
          <w:b/>
          <w:b/>
          <w:bCs/>
          <w:color w:val="000000"/>
          <w:sz w:val="24"/>
          <w:szCs w:val="24"/>
        </w:rPr>
      </w:pP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  <w:t>REPRESENTAÇÃO ELEITORAL</w:t>
      </w:r>
    </w:p>
    <w:p>
      <w:pPr>
        <w:pStyle w:val="Normal"/>
        <w:spacing w:lineRule="auto" w:line="360"/>
        <w:jc w:val="both"/>
        <w:rPr>
          <w:rFonts w:ascii="Cambria" w:hAnsi="Cambria" w:cs="Times New Roman;Times New Roman PSMT"/>
          <w:b/>
          <w:b/>
          <w:bCs/>
          <w:color w:val="000000"/>
          <w:sz w:val="24"/>
          <w:szCs w:val="24"/>
        </w:rPr>
      </w:pP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  <w:t xml:space="preserve">Autos nº_____________ </w:t>
      </w:r>
    </w:p>
    <w:p>
      <w:pPr>
        <w:pStyle w:val="Normal"/>
        <w:spacing w:lineRule="auto" w:line="360"/>
        <w:jc w:val="both"/>
        <w:rPr>
          <w:rFonts w:ascii="Cambria" w:hAnsi="Cambria" w:eastAsia="Times New Roman;Times New Roman PSMT" w:cs="Times New Roman;Times New Roman PSMT"/>
          <w:b/>
          <w:b/>
          <w:bCs/>
          <w:color w:val="000000"/>
          <w:sz w:val="24"/>
          <w:szCs w:val="24"/>
          <w:lang w:eastAsia="pt-BR" w:bidi="ar-SA"/>
        </w:rPr>
      </w:pPr>
      <w:r>
        <w:rPr>
          <w:rFonts w:eastAsia="Times New Roman;Times New Roman PSMT" w:cs="Times New Roman;Times New Roman PSMT" w:ascii="Cambria" w:hAnsi="Cambria"/>
          <w:b/>
          <w:bCs/>
          <w:color w:val="000000"/>
          <w:sz w:val="24"/>
          <w:szCs w:val="24"/>
          <w:lang w:eastAsia="pt-BR" w:bidi="ar-SA"/>
        </w:rPr>
        <w:t>REPRESENTANTE: Coligação “__________”.</w:t>
      </w:r>
    </w:p>
    <w:p>
      <w:pPr>
        <w:pStyle w:val="Normal"/>
        <w:spacing w:lineRule="auto" w:line="360"/>
        <w:jc w:val="both"/>
        <w:rPr>
          <w:rFonts w:ascii="Cambria" w:hAnsi="Cambria" w:eastAsia="Times New Roman;Times New Roman PSMT" w:cs="Times New Roman;Times New Roman PSMT"/>
          <w:b/>
          <w:b/>
          <w:bCs/>
          <w:color w:val="000000"/>
          <w:sz w:val="24"/>
          <w:szCs w:val="24"/>
          <w:lang w:eastAsia="pt-BR" w:bidi="ar-SA"/>
        </w:rPr>
      </w:pPr>
      <w:r>
        <w:rPr>
          <w:rFonts w:eastAsia="Times New Roman;Times New Roman PSMT" w:cs="Times New Roman;Times New Roman PSMT" w:ascii="Cambria" w:hAnsi="Cambria"/>
          <w:b/>
          <w:bCs/>
          <w:color w:val="000000"/>
          <w:sz w:val="24"/>
          <w:szCs w:val="24"/>
          <w:lang w:eastAsia="pt-BR" w:bidi="ar-SA"/>
        </w:rPr>
        <w:t>REPRESENTADOS: ____________________</w:t>
      </w:r>
    </w:p>
    <w:p>
      <w:pPr>
        <w:pStyle w:val="Normal"/>
        <w:spacing w:lineRule="auto" w:line="360"/>
        <w:jc w:val="both"/>
        <w:rPr>
          <w:rFonts w:ascii="Cambria" w:hAnsi="Cambria" w:cs="Times New Roman;Times New Roman PSMT"/>
          <w:b/>
          <w:b/>
          <w:bCs/>
          <w:color w:val="000000"/>
          <w:sz w:val="24"/>
          <w:szCs w:val="24"/>
        </w:rPr>
      </w:pP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  <w:t xml:space="preserve">NATUREZA: PROPAGANDA ELEITORAL IRREGULAR. </w:t>
      </w:r>
    </w:p>
    <w:p>
      <w:pPr>
        <w:pStyle w:val="Normal"/>
        <w:spacing w:lineRule="auto" w:line="360"/>
        <w:jc w:val="both"/>
        <w:rPr>
          <w:rFonts w:ascii="Cambria" w:hAnsi="Cambria" w:cs="Times New Roman;Times New Roman PSMT"/>
          <w:b/>
          <w:b/>
          <w:bCs/>
          <w:color w:val="000000"/>
          <w:sz w:val="24"/>
          <w:szCs w:val="24"/>
        </w:rPr>
      </w:pP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 w:cs="Times New Roman;Times New Roman PSMT"/>
          <w:b/>
          <w:b/>
          <w:bCs/>
          <w:color w:val="000000"/>
          <w:sz w:val="24"/>
          <w:szCs w:val="24"/>
        </w:rPr>
      </w:pP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 w:cs="Times New Roman;Times New Roman PSMT"/>
          <w:b/>
          <w:b/>
          <w:color w:val="000000"/>
          <w:sz w:val="24"/>
          <w:szCs w:val="24"/>
        </w:rPr>
      </w:pPr>
      <w:r>
        <w:rPr>
          <w:rFonts w:cs="Times New Roman;Times New Roman PSMT" w:ascii="Cambria" w:hAnsi="Cambria"/>
          <w:b/>
          <w:color w:val="000000"/>
          <w:sz w:val="24"/>
          <w:szCs w:val="24"/>
        </w:rPr>
        <w:t>M A N I F E S T A Ç Ã O</w:t>
      </w:r>
    </w:p>
    <w:p>
      <w:pPr>
        <w:pStyle w:val="Normal"/>
        <w:spacing w:lineRule="auto" w:line="360"/>
        <w:jc w:val="both"/>
        <w:rPr>
          <w:rFonts w:ascii="Cambria" w:hAnsi="Cambria" w:cs="Times New Roman;Times New Roman PSMT"/>
          <w:b/>
          <w:b/>
          <w:bCs/>
          <w:color w:val="000000"/>
          <w:sz w:val="24"/>
          <w:szCs w:val="24"/>
        </w:rPr>
      </w:pP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360"/>
        <w:ind w:left="0" w:right="0" w:firstLine="1134"/>
        <w:jc w:val="both"/>
        <w:textAlignment w:val="auto"/>
        <w:rPr>
          <w:rFonts w:ascii="Cambria" w:hAnsi="Cambria" w:eastAsia="Times New Roman;Times New Roman PSMT" w:cs="Times New Roman;Times New Roman PSMT"/>
          <w:b/>
          <w:b/>
          <w:bCs/>
          <w:color w:val="000000"/>
          <w:sz w:val="24"/>
          <w:szCs w:val="24"/>
          <w:lang w:eastAsia="pt-BR" w:bidi="ar-SA"/>
        </w:rPr>
      </w:pPr>
      <w:r>
        <w:rPr>
          <w:rFonts w:eastAsia="Times New Roman;Times New Roman PSMT" w:cs="Times New Roman;Times New Roman PSMT" w:ascii="Cambria" w:hAnsi="Cambria"/>
          <w:b/>
          <w:bCs/>
          <w:color w:val="000000"/>
          <w:sz w:val="24"/>
          <w:szCs w:val="24"/>
          <w:lang w:eastAsia="pt-BR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eastAsia="Times New Roman;Times New Roman PSMT" w:cs="Times New Roman;Times New Roman PSMT" w:ascii="Cambria" w:hAnsi="Cambria"/>
          <w:sz w:val="24"/>
          <w:szCs w:val="24"/>
          <w:lang w:eastAsia="pt-BR" w:bidi="ar-SA"/>
        </w:rPr>
        <w:t xml:space="preserve">Trata-se de representação eleitoral ajuizada pela Coligação “_____________” em desfavor de _____, do candidato ____________________ e da empresa </w:t>
      </w:r>
      <w:r>
        <w:rPr>
          <w:rFonts w:eastAsia="Times New Roman;Times New Roman PSMT" w:cs="Times New Roman;Times New Roman PSMT" w:ascii="Cambria" w:hAnsi="Cambria"/>
          <w:b/>
          <w:sz w:val="24"/>
          <w:szCs w:val="24"/>
          <w:lang w:eastAsia="pt-BR" w:bidi="ar-SA"/>
        </w:rPr>
        <w:t>Facebook Serviços Online do Brasil Ltda</w:t>
      </w:r>
      <w:r>
        <w:rPr>
          <w:rFonts w:eastAsia="Times New Roman;Times New Roman PSMT" w:cs="Times New Roman;Times New Roman PSMT" w:ascii="Cambria" w:hAnsi="Cambria"/>
          <w:sz w:val="24"/>
          <w:szCs w:val="24"/>
          <w:lang w:eastAsia="pt-BR" w:bidi="ar-SA"/>
        </w:rPr>
        <w:t xml:space="preserve">. 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eastAsia="Times New Roman;Times New Roman PSMT" w:cs="Times New Roman;Times New Roman PSMT" w:ascii="Cambria" w:hAnsi="Cambria"/>
          <w:sz w:val="24"/>
          <w:szCs w:val="24"/>
          <w:lang w:eastAsia="pt-BR" w:bidi="ar-SA"/>
        </w:rPr>
        <w:t xml:space="preserve">A peça vestibular noticia que o primeiro representado publicou postagem na rede social mantida pela empresa representada em favor do candidato também representado, porém, de modo irregular, consistente em: a) extemporaneidade, uma vez que a publicação ocorreu no dia XX de XX passado; b) impulsionamento na rede social fora dos padrões exigidos pela legislação eleitoral, eis que feita por pessoa sem autorização para tanto e no qual não constam CPF e a tarja de propaganda eleitoral, e; c) vinculação da imagem de agente político, a saber, o Governador do Estado XXXXX, cujo partido político, todavia, integra coligação diversa daquela do candidato ora representado. Ao final, pede concessão de medida liminar e, no mérito, a retirada em definitivo das postagens indicadas bem como aplicação de multa aos representados. 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eastAsia="Times New Roman;Times New Roman PSMT" w:cs="Times New Roman;Times New Roman PSMT" w:ascii="Cambria" w:hAnsi="Cambria"/>
          <w:sz w:val="24"/>
          <w:szCs w:val="24"/>
          <w:lang w:eastAsia="pt-BR" w:bidi="ar-SA"/>
        </w:rPr>
        <w:t>O Juízo Eleitoral deferiu a medida liminar pleiteada e determinou a citação dos representados.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eastAsia="Times New Roman;Times New Roman PSMT" w:cs="Times New Roman;Times New Roman PSMT" w:ascii="Cambria" w:hAnsi="Cambria"/>
          <w:sz w:val="24"/>
          <w:szCs w:val="24"/>
          <w:lang w:eastAsia="pt-BR" w:bidi="ar-SA"/>
        </w:rPr>
        <w:t xml:space="preserve">O representado Facebook veio aos autos para informar o cumprimento da decisão liminar. E em sede de contestação, sustentou a inexigibilidade do dever de fiscalização das publicações de seus usuários, a não incidência de multa eleitoral e a impossibilidade de citação do representado ______________ por meio de sua rede social. 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eastAsia="Times New Roman;Times New Roman PSMT" w:cs="Times New Roman;Times New Roman PSMT" w:ascii="Cambria" w:hAnsi="Cambria"/>
          <w:sz w:val="24"/>
          <w:szCs w:val="24"/>
          <w:lang w:eastAsia="pt-BR" w:bidi="ar-SA"/>
        </w:rPr>
        <w:t>Os representados _____________ e _______________, embora citados, quedaram inertes.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 xml:space="preserve">Então, os autos vieram com vista ao Ministério Público Eleitoral para parecer de mérito, na condição de </w:t>
      </w:r>
      <w:r>
        <w:rPr>
          <w:rFonts w:cs="Times New Roman;Times New Roman PSMT" w:ascii="Cambria" w:hAnsi="Cambria"/>
          <w:i/>
          <w:color w:val="000000"/>
          <w:sz w:val="24"/>
          <w:szCs w:val="24"/>
        </w:rPr>
        <w:t>custos juris.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É o relatório.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Não há irregularidade ou nulidade no processamento do feito. Observa-se que a decisão liminar foi efetivamente cumprida e que os representados foram citados de modo adequado, por meio do mural eletrônico.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b/>
          <w:sz w:val="24"/>
          <w:szCs w:val="24"/>
        </w:rPr>
        <w:t>Da extemporaneidade da propaganda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sz w:val="24"/>
          <w:szCs w:val="24"/>
        </w:rPr>
        <w:t>O representante fez prova adequada e suficiente de que houve propaganda extemporânea. A</w:t>
      </w:r>
      <w:r>
        <w:rPr>
          <w:rFonts w:cs="Times New Roman;Times New Roman PSMT" w:ascii="Cambria" w:hAnsi="Cambria"/>
          <w:color w:val="000000"/>
          <w:sz w:val="24"/>
          <w:szCs w:val="24"/>
        </w:rPr>
        <w:t xml:space="preserve"> notícia se fez acompanhar da URL e de impressões de fotografias de páginas da rede social </w:t>
      </w:r>
      <w:r>
        <w:rPr>
          <w:rFonts w:cs="Times New Roman;Times New Roman PSMT" w:ascii="Cambria" w:hAnsi="Cambria"/>
          <w:i/>
          <w:color w:val="000000"/>
          <w:sz w:val="24"/>
          <w:szCs w:val="24"/>
        </w:rPr>
        <w:t xml:space="preserve">facebook, </w:t>
      </w:r>
      <w:r>
        <w:rPr>
          <w:rFonts w:cs="Times New Roman;Times New Roman PSMT" w:ascii="Cambria" w:hAnsi="Cambria"/>
          <w:color w:val="000000"/>
          <w:sz w:val="24"/>
          <w:szCs w:val="24"/>
        </w:rPr>
        <w:t>referentes a publicação do dia XX de XX deste ano,</w:t>
      </w:r>
      <w:r>
        <w:rPr>
          <w:rFonts w:cs="Times New Roman;Times New Roman PSMT" w:ascii="Cambria" w:hAnsi="Cambria"/>
          <w:i/>
          <w:color w:val="000000"/>
          <w:sz w:val="24"/>
          <w:szCs w:val="24"/>
        </w:rPr>
        <w:t xml:space="preserve"> </w:t>
      </w:r>
      <w:r>
        <w:rPr>
          <w:rFonts w:cs="Times New Roman;Times New Roman PSMT" w:ascii="Cambria" w:hAnsi="Cambria"/>
          <w:color w:val="000000"/>
          <w:sz w:val="24"/>
          <w:szCs w:val="24"/>
        </w:rPr>
        <w:t xml:space="preserve">onde se constata, facilmente, a propaganda do pré-candidato, ora representado, ______________, no perfil do também representado ___________, e depois dele, de outros perfis desconhecidos, que podem ser </w:t>
      </w:r>
      <w:r>
        <w:rPr>
          <w:rFonts w:cs="Times New Roman;Times New Roman PSMT" w:ascii="Cambria" w:hAnsi="Cambria"/>
          <w:i/>
          <w:color w:val="000000"/>
          <w:sz w:val="24"/>
          <w:szCs w:val="24"/>
        </w:rPr>
        <w:t>bots</w:t>
      </w:r>
      <w:r>
        <w:rPr>
          <w:rFonts w:cs="Times New Roman;Times New Roman PSMT" w:ascii="Cambria" w:hAnsi="Cambria"/>
          <w:color w:val="000000"/>
          <w:sz w:val="24"/>
          <w:szCs w:val="24"/>
        </w:rPr>
        <w:t xml:space="preserve">, desta feita, contendo a informação de que se tratava de </w:t>
      </w:r>
      <w:r>
        <w:rPr>
          <w:rFonts w:cs="Times New Roman;Times New Roman PSMT" w:ascii="Cambria" w:hAnsi="Cambria"/>
          <w:i/>
          <w:color w:val="000000"/>
          <w:sz w:val="24"/>
          <w:szCs w:val="24"/>
        </w:rPr>
        <w:t>link</w:t>
      </w:r>
      <w:r>
        <w:rPr>
          <w:rFonts w:cs="Times New Roman;Times New Roman PSMT" w:ascii="Cambria" w:hAnsi="Cambria"/>
          <w:color w:val="000000"/>
          <w:sz w:val="24"/>
          <w:szCs w:val="24"/>
        </w:rPr>
        <w:t xml:space="preserve"> patrocinado, prática vedada pela legislação eleitoral, por se configurar propaganda paga.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Nestas impressões, podem ser lidas mensagens exaltando uma qualquer ligação entre o representado _______________ e o Governador do Estado, XXXX, e o Prefeito de ___________, ________________, em data anterior ao dia 16 de agosto.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A atitude do representado ____________ viola a legislação eleitoral, visto que as mensagens veiculadas, embora não façam expressa referência a uma candidatura, constituem franca e deliberada exposição do nome do representado ___________________ como pré-candidato, junto ao eleitorado do Município de ____________, buscando firmá-las no inconsciente do eleitor como pessoa já conhecida e potencial candidato nas próximas eleições, o que de fato veio a ocorrer.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Naturalmente, a propaganda em rede social facilita e prepara a propaganda futura, gerando efeitos psicológicos mais significativos do que a propaganda eleitoral direta, exatamente por proporcionar essa aceitação inconsciente, por parte dos eleitores, do nome do futuro candidato.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Note-se que as mensagens veiculadas em prol do representado _______________ possuem cunho político e apelo popular, de modo a criar em favor do representado empatia com os eleitores.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Indiscutivelmente, as mensagens possuem objetivos eleitorais, já que a potencialidade da candidatura do representado, a veiculação de seus feitos administrativos e o momento político da propagação destas mensagens compõem o conceito de propaganda eleitoral.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 xml:space="preserve">Como já dito, a propaganda eleitoral só é permitida a partir de 16 de agosto, nos termos do art. 36, </w:t>
      </w:r>
      <w:r>
        <w:rPr>
          <w:rFonts w:cs="Times New Roman;Times New Roman PSMT" w:ascii="Cambria" w:hAnsi="Cambria"/>
          <w:i/>
          <w:color w:val="000000"/>
          <w:sz w:val="24"/>
          <w:szCs w:val="24"/>
        </w:rPr>
        <w:t>caput</w:t>
      </w:r>
      <w:r>
        <w:rPr>
          <w:rFonts w:cs="Times New Roman;Times New Roman PSMT" w:ascii="Cambria" w:hAnsi="Cambria"/>
          <w:color w:val="000000"/>
          <w:sz w:val="24"/>
          <w:szCs w:val="24"/>
        </w:rPr>
        <w:t>, da Lei n.º 9504/97</w:t>
      </w:r>
      <w:r>
        <w:rPr>
          <w:rStyle w:val="Ncoradanotaderodap"/>
          <w:rFonts w:cs="Times New Roman;Times New Roman PSMT" w:ascii="Cambria" w:hAnsi="Cambria"/>
          <w:color w:val="000000"/>
          <w:sz w:val="24"/>
          <w:szCs w:val="24"/>
        </w:rPr>
        <w:footnoteReference w:id="2"/>
      </w:r>
      <w:r>
        <w:rPr>
          <w:rStyle w:val="Refdenotaderodap"/>
          <w:rFonts w:cs="Times New Roman;Times New Roman PSMT" w:ascii="Cambria" w:hAnsi="Cambria"/>
          <w:color w:val="000000"/>
          <w:sz w:val="24"/>
          <w:szCs w:val="24"/>
        </w:rPr>
        <w:t xml:space="preserve">. </w:t>
      </w:r>
      <w:r>
        <w:rPr>
          <w:rFonts w:cs="Times New Roman;Times New Roman PSMT" w:ascii="Cambria" w:hAnsi="Cambria"/>
          <w:color w:val="000000"/>
          <w:sz w:val="24"/>
          <w:szCs w:val="24"/>
        </w:rPr>
        <w:t>Antes daquela data, qualquer mensagem levada ao conhecimento do eleitor, sugerindo direta ou indiretamente, expressa ou dissimuladamente a candidatura, já caracterizava infração cível eleitoral, tipificada no § 3º do citado artigo, imputando-se em face dessa infração a multa de R$ 5 mil a R$ 25 mil.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b/>
          <w:sz w:val="24"/>
          <w:szCs w:val="24"/>
        </w:rPr>
        <w:t>Do impulsionamento irregular em rede social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 xml:space="preserve">Constata-se que o impulsionamento se deu nos perfis de nomes “________________” e “____________”, por ora, não identificados, e que podem ser </w:t>
      </w:r>
      <w:r>
        <w:rPr>
          <w:rFonts w:cs="Times New Roman;Times New Roman PSMT" w:ascii="Cambria" w:hAnsi="Cambria"/>
          <w:i/>
          <w:color w:val="000000"/>
          <w:sz w:val="24"/>
          <w:szCs w:val="24"/>
        </w:rPr>
        <w:t>bots</w:t>
      </w:r>
      <w:r>
        <w:rPr>
          <w:rFonts w:cs="Times New Roman;Times New Roman PSMT" w:ascii="Cambria" w:hAnsi="Cambria"/>
          <w:color w:val="000000"/>
          <w:sz w:val="24"/>
          <w:szCs w:val="24"/>
        </w:rPr>
        <w:t xml:space="preserve">. 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Além do nítido caráter eleitoral, repete-se e insiste-se, a propaganda em exame é vedada, pois gera despesa, tratando-se de propaganda paga, expressamente proibida pelo art. 57-C da Lei das Eleições</w:t>
      </w:r>
      <w:r>
        <w:rPr>
          <w:rStyle w:val="Ncoradanotaderodap"/>
          <w:rFonts w:cs="Times New Roman;Times New Roman PSMT" w:ascii="Cambria" w:hAnsi="Cambria"/>
          <w:color w:val="000000"/>
          <w:sz w:val="24"/>
          <w:szCs w:val="24"/>
        </w:rPr>
        <w:footnoteReference w:id="3"/>
      </w:r>
      <w:r>
        <w:rPr>
          <w:rFonts w:cs="Times New Roman;Times New Roman PSMT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Ressalte-se ainda que o art. 57-C exige que o impulsionamento de conteúdo, durante a campanha, seja identificado de forma inequívoca como tal, sob pena de ser considerado ilícito, sujeitando o seu responsável à multa prevista no § 2º do mencionado dispositivo</w:t>
      </w:r>
      <w:r>
        <w:rPr>
          <w:rStyle w:val="Ncoradanotaderodap"/>
          <w:rFonts w:cs="Times New Roman;Times New Roman PSMT" w:ascii="Cambria" w:hAnsi="Cambria"/>
          <w:color w:val="000000"/>
          <w:sz w:val="24"/>
          <w:szCs w:val="24"/>
        </w:rPr>
        <w:footnoteReference w:id="4"/>
      </w:r>
      <w:r>
        <w:rPr>
          <w:rFonts w:cs="Times New Roman;Times New Roman PSMT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A identificação do impulsionamento deve ser feita nos termos do artigo 29, § 5º, da Resolução nº 23.610/2019, o que claramente não foi observado no caso em apreço</w:t>
      </w:r>
      <w:r>
        <w:rPr>
          <w:rStyle w:val="Ncoradanotaderodap"/>
          <w:rFonts w:cs="Times New Roman;Times New Roman PSMT" w:ascii="Cambria" w:hAnsi="Cambria"/>
          <w:color w:val="000000"/>
          <w:sz w:val="24"/>
          <w:szCs w:val="24"/>
        </w:rPr>
        <w:footnoteReference w:id="5"/>
      </w:r>
      <w:r>
        <w:rPr>
          <w:rFonts w:cs="Times New Roman;Times New Roman PSMT" w:ascii="Cambria" w:hAnsi="Cambria"/>
          <w:color w:val="000000"/>
          <w:sz w:val="24"/>
          <w:szCs w:val="24"/>
        </w:rPr>
        <w:t>. Com efeito, no caso dos autos, as publicações não apresentam tais informações, até porque o CNPJ da campanha somente pode ser obtido após o pedido de registro, o que corrobora o caráter ilícito desse tipo de propaganda eleitoral antes do período permitido.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Assim, verifica-se que está perfeitamente caracterizada a infração à legislação de regência, porém, não pelo representado ______________, mas por meio de outros perfis não identificados.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b/>
          <w:sz w:val="24"/>
          <w:szCs w:val="24"/>
        </w:rPr>
        <w:t>Da vinculação da imagem de agente político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sz w:val="24"/>
          <w:szCs w:val="24"/>
        </w:rPr>
        <w:t xml:space="preserve">Também restou adequada e suficientemente demonstrada, pela própria imagem postada pelo perfil do representado ____________, e depois replicada por outros perfis desconhecidos, inclusive, com a mesma mensagem em adendo, uma vinculação entre o representado _________________  e o </w:t>
      </w:r>
      <w:r>
        <w:rPr>
          <w:rFonts w:eastAsia="Times New Roman;Times New Roman PSMT" w:cs="Times New Roman;Times New Roman PSMT" w:ascii="Cambria" w:hAnsi="Cambria"/>
          <w:sz w:val="24"/>
          <w:szCs w:val="24"/>
          <w:lang w:eastAsia="pt-BR" w:bidi="ar-SA"/>
        </w:rPr>
        <w:t>agente político, a saber, o Governador do Estado XXXXX, cujo partido político, todavia, integra coligação diversa daquela do candidato ora representado.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eastAsia="Times New Roman;Times New Roman PSMT" w:cs="Times New Roman;Times New Roman PSMT" w:ascii="Cambria" w:hAnsi="Cambria"/>
          <w:sz w:val="24"/>
          <w:szCs w:val="24"/>
          <w:lang w:eastAsia="pt-BR" w:bidi="ar-SA"/>
        </w:rPr>
        <w:t>Trata-se, portanto, de uma burla, ao art. 242, do Código Eleitoral</w:t>
      </w:r>
      <w:r>
        <w:rPr>
          <w:rStyle w:val="Ncoradanotaderodap"/>
          <w:rFonts w:eastAsia="Times New Roman;Times New Roman PSMT" w:cs="Times New Roman;Times New Roman PSMT" w:ascii="Cambria" w:hAnsi="Cambria"/>
          <w:sz w:val="24"/>
          <w:szCs w:val="24"/>
          <w:lang w:eastAsia="pt-BR" w:bidi="ar-SA"/>
        </w:rPr>
        <w:footnoteReference w:id="6"/>
      </w:r>
      <w:r>
        <w:rPr>
          <w:rFonts w:eastAsia="Times New Roman;Times New Roman PSMT" w:cs="Times New Roman;Times New Roman PSMT" w:ascii="Cambria" w:hAnsi="Cambria"/>
          <w:sz w:val="24"/>
          <w:szCs w:val="24"/>
          <w:lang w:eastAsia="pt-BR" w:bidi="ar-SA"/>
        </w:rPr>
        <w:t xml:space="preserve">, que pode incutir um estado mental artificial no eleitor, ao fazê-lo acreditar que o representado ___________________, por ter o apoio político daquele agente público, também estaria desfrutando o suporte do partido político dele. 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cs="Times New Roman;Times New Roman PSMT" w:ascii="Cambria" w:hAnsi="Cambria"/>
          <w:color w:val="000000"/>
          <w:sz w:val="24"/>
          <w:szCs w:val="24"/>
        </w:rPr>
        <w:t>O Ministério Público Eleitoral verifica que a publicação foi indevida e que está relacionada ao contexto das eleições de 2024, podendo ser considerada propaganda irregular. Em contrapartida, não parece pertinente o pedido do representante para que o representado Facebook se abstenha de permitir a publicação de conteúdos idênticos, uma vez que isso caracterizaria uma inconstitucional censura prévia. No mais, nos termos do art. 40-B, da Lei n.º 9504/97</w:t>
      </w:r>
      <w:r>
        <w:rPr>
          <w:rStyle w:val="Ncoradanotaderodap"/>
          <w:rFonts w:cs="Times New Roman;Times New Roman PSMT" w:ascii="Cambria" w:hAnsi="Cambria"/>
          <w:color w:val="000000"/>
          <w:sz w:val="24"/>
          <w:szCs w:val="24"/>
        </w:rPr>
        <w:footnoteReference w:id="7"/>
      </w:r>
      <w:r>
        <w:rPr>
          <w:rFonts w:cs="Times New Roman;Times New Roman PSMT" w:ascii="Cambria" w:hAnsi="Cambria"/>
          <w:color w:val="000000"/>
          <w:sz w:val="24"/>
          <w:szCs w:val="24"/>
        </w:rPr>
        <w:t>, não se configura a presunção tampouco se fez prova adequada e suficiente de que o representado ___________________ tivesse conhecimento prévio da propaganda irregular.</w:t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360" w:before="0" w:after="0"/>
        <w:ind w:left="0" w:right="0" w:firstLine="1701"/>
        <w:jc w:val="both"/>
        <w:textAlignment w:val="auto"/>
        <w:rPr>
          <w:b w:val="false"/>
          <w:b w:val="false"/>
          <w:bCs w:val="false"/>
        </w:rPr>
      </w:pPr>
      <w:r>
        <w:rPr>
          <w:rFonts w:cs="Times New Roman;Times New Roman PSMT" w:ascii="Cambria" w:hAnsi="Cambria"/>
          <w:b w:val="false"/>
          <w:bCs w:val="false"/>
          <w:color w:val="000000"/>
          <w:sz w:val="24"/>
          <w:szCs w:val="24"/>
        </w:rPr>
        <w:t xml:space="preserve">Por todo o exposto, o </w:t>
      </w: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  <w:t xml:space="preserve">Ministério Público Eleitoral manifesta-se pelo </w:t>
      </w: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  <w:t>P</w:t>
      </w: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  <w:t xml:space="preserve">ARCIAL </w:t>
      </w: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  <w:t>PROCEDÊNCIA</w:t>
      </w:r>
      <w:r>
        <w:rPr>
          <w:rFonts w:cs="Times New Roman;Times New Roman PSMT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Times New Roman;Times New Roman PSMT" w:ascii="Cambria" w:hAnsi="Cambria"/>
          <w:b w:val="false"/>
          <w:bCs w:val="false"/>
          <w:color w:val="000000"/>
          <w:sz w:val="24"/>
          <w:szCs w:val="24"/>
        </w:rPr>
        <w:t>dos pedidos, para que, ao final, seja julgada parcialmente procedente a presente representação, confirmando-se a ordem de retirada da propaganda e condenando-se o representado _________________ ao pagamento da multa prevista no art. 36, §3º, da Lei 9.504/97.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 New Roman">
    <w:altName w:val="Times New Roman PSMT"/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ind w:right="0" w:hanging="0"/>
        <w:rPr>
          <w:rFonts w:ascii="Cambria" w:hAnsi="Cambria"/>
          <w:i w:val="false"/>
          <w:i w:val="false"/>
          <w:iCs w:val="false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ascii="Cambria" w:hAnsi="Cambria"/>
          <w:i w:val="false"/>
          <w:iCs w:val="false"/>
          <w:sz w:val="18"/>
          <w:szCs w:val="18"/>
        </w:rPr>
        <w:t xml:space="preserve"> </w:t>
      </w:r>
      <w:r>
        <w:rPr>
          <w:rFonts w:ascii="Cambria" w:hAnsi="Cambria"/>
          <w:i w:val="false"/>
          <w:iCs w:val="false"/>
          <w:sz w:val="18"/>
          <w:szCs w:val="18"/>
        </w:rPr>
        <w:t>Diz o art. 36, caput, da Lei n.º 9504/97: “Art. 36. A propaganda eleitoral somente é permitida após o dia 15 de agosto do ano da eleição”.</w:t>
      </w:r>
    </w:p>
  </w:footnote>
  <w:footnote w:id="3">
    <w:p>
      <w:pPr>
        <w:pStyle w:val="Notaderodap"/>
        <w:ind w:right="0" w:hanging="0"/>
        <w:jc w:val="both"/>
        <w:rPr>
          <w:rFonts w:ascii="Cambria" w:hAnsi="Cambria"/>
          <w:i w:val="false"/>
          <w:i w:val="false"/>
          <w:iCs w:val="false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ascii="Cambria" w:hAnsi="Cambria"/>
          <w:i w:val="false"/>
          <w:iCs w:val="false"/>
          <w:sz w:val="18"/>
          <w:szCs w:val="18"/>
        </w:rPr>
        <w:t xml:space="preserve"> </w:t>
      </w:r>
      <w:r>
        <w:rPr>
          <w:rFonts w:ascii="Cambria" w:hAnsi="Cambria"/>
          <w:i w:val="false"/>
          <w:iCs w:val="false"/>
          <w:sz w:val="18"/>
          <w:szCs w:val="18"/>
        </w:rPr>
        <w:t>Nesse sentido, diz o art. 57-C, da Lei n.º 9504/97, com a redação que lhe foi dada pela Lei n.º 12034/09: “Art. 57-C. Na internet, é vedada a veiculação de qualquer tipo de propaganda eleitoral paga”.</w:t>
      </w:r>
    </w:p>
  </w:footnote>
  <w:footnote w:id="4">
    <w:p>
      <w:pPr>
        <w:pStyle w:val="Notaderodap"/>
        <w:ind w:right="0" w:hanging="0"/>
        <w:jc w:val="both"/>
        <w:rPr>
          <w:rFonts w:ascii="Cambria" w:hAnsi="Cambria"/>
          <w:i w:val="false"/>
          <w:i w:val="false"/>
          <w:iCs w:val="false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ascii="Cambria" w:hAnsi="Cambria"/>
          <w:i w:val="false"/>
          <w:iCs w:val="false"/>
          <w:sz w:val="18"/>
          <w:szCs w:val="18"/>
        </w:rPr>
        <w:t xml:space="preserve"> </w:t>
      </w:r>
      <w:r>
        <w:rPr>
          <w:rFonts w:ascii="Cambria" w:hAnsi="Cambria"/>
          <w:i w:val="false"/>
          <w:iCs w:val="false"/>
          <w:sz w:val="18"/>
          <w:szCs w:val="18"/>
        </w:rPr>
        <w:t>Com efeito, dispõe o §2º, do art. 57-C, da Lei n.º 9504/97, com a redação que lhe foi dada pela Lei n.º 13488/17: “§ 2º. A violação do disposto neste artigo sujeita o responsável pela divulgação da propaganda ou pelo impulsionamento de conteúdos e, quando comprovado seu prévio conhecimento, o beneficiário, à multa no valor de R$ 5.000,00 (cinco mil reais) a R$ 30.000,00 (trinta mil reais) ou em valor equivalente ao dobro da quantia despendida, se esse cálculo superar o limite máximo da multa”.</w:t>
      </w:r>
    </w:p>
  </w:footnote>
  <w:footnote w:id="5">
    <w:p>
      <w:pPr>
        <w:pStyle w:val="SemEspaamento"/>
        <w:bidi w:val="0"/>
        <w:jc w:val="both"/>
        <w:rPr>
          <w:rFonts w:ascii="Cambria" w:hAnsi="Cambria"/>
          <w:i w:val="false"/>
          <w:i w:val="false"/>
          <w:iCs w:val="false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eastAsia="Times New Roman;Times New Roman PSMT" w:cs="Times New Roman;Times New Roman PSMT" w:ascii="Cambria" w:hAnsi="Cambria"/>
          <w:i w:val="false"/>
          <w:iCs w:val="false"/>
          <w:sz w:val="18"/>
          <w:szCs w:val="18"/>
        </w:rPr>
        <w:t xml:space="preserve"> </w:t>
      </w:r>
      <w:r>
        <w:rPr>
          <w:rFonts w:ascii="Cambria" w:hAnsi="Cambria"/>
          <w:i w:val="false"/>
          <w:iCs w:val="false"/>
          <w:sz w:val="18"/>
          <w:szCs w:val="18"/>
        </w:rPr>
        <w:t>A propósito, estabelece o §5º, do art. 29, da Resolução TSE n.º 23610/19: “</w:t>
      </w:r>
      <w:r>
        <w:rPr>
          <w:rFonts w:ascii="Cambria" w:hAnsi="Cambria"/>
          <w:i w:val="false"/>
          <w:iCs w:val="false"/>
          <w:sz w:val="18"/>
          <w:szCs w:val="18"/>
          <w:lang w:eastAsia="pt-BR" w:bidi="ar-SA"/>
        </w:rPr>
        <w:t>§ 5º. Todo impulsionamento deverá conter, de forma clara e legível, o número de inscrição no Cadastro Nacional da Pessoa Jurídica (CNPJ) ou o número de inscrição no Cadastro de Pessoas Físicas (CPF) do responsável, além da expressão "Propaganda Eleitoral".</w:t>
      </w:r>
    </w:p>
  </w:footnote>
  <w:footnote w:id="6">
    <w:p>
      <w:pPr>
        <w:pStyle w:val="SemEspaamento"/>
        <w:bidi w:val="0"/>
        <w:jc w:val="both"/>
        <w:rPr>
          <w:rFonts w:ascii="Cambria" w:hAnsi="Cambria"/>
          <w:i w:val="false"/>
          <w:i w:val="false"/>
          <w:iCs w:val="false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eastAsia="Times New Roman;Times New Roman PSMT" w:cs="Times New Roman;Times New Roman PSMT" w:ascii="Cambria" w:hAnsi="Cambria"/>
          <w:i w:val="false"/>
          <w:iCs w:val="false"/>
          <w:sz w:val="18"/>
          <w:szCs w:val="18"/>
        </w:rPr>
        <w:t xml:space="preserve"> </w:t>
      </w:r>
      <w:r>
        <w:rPr>
          <w:rFonts w:ascii="Cambria" w:hAnsi="Cambria"/>
          <w:i w:val="false"/>
          <w:iCs w:val="false"/>
          <w:sz w:val="18"/>
          <w:szCs w:val="18"/>
        </w:rPr>
        <w:t>Com efeito, estabelece o art. 242, do Código Eleitoral: “</w:t>
      </w:r>
      <w:r>
        <w:rPr>
          <w:rFonts w:cs="Times New Roman;Times New Roman PSMT" w:ascii="Cambria" w:hAnsi="Cambria"/>
          <w:bCs/>
          <w:i w:val="false"/>
          <w:iCs w:val="false"/>
          <w:sz w:val="18"/>
          <w:szCs w:val="18"/>
        </w:rPr>
        <w:t xml:space="preserve">“Art. 242. </w:t>
      </w:r>
      <w:r>
        <w:rPr>
          <w:rFonts w:cs="Times New Roman;Times New Roman PSMT" w:ascii="Cambria" w:hAnsi="Cambria"/>
          <w:i w:val="false"/>
          <w:iCs w:val="false"/>
          <w:sz w:val="18"/>
          <w:szCs w:val="18"/>
        </w:rPr>
        <w:t xml:space="preserve">A propaganda, qualquer que seja a sua forma ou modalidade, mencionará sempre a legenda partidária e só poderá ser feita em língua nacional, não devendo empregar meios publicitários destinados a criar, artificialmente, na opinião pública, estados mentais, emocionais ou passionais. </w:t>
      </w:r>
      <w:r>
        <w:rPr>
          <w:rFonts w:cs="Times New Roman;Times New Roman PSMT" w:ascii="Cambria" w:hAnsi="Cambria"/>
          <w:bCs/>
          <w:i w:val="false"/>
          <w:iCs w:val="false"/>
          <w:sz w:val="18"/>
          <w:szCs w:val="18"/>
        </w:rPr>
        <w:t xml:space="preserve">Parágrafo único. </w:t>
      </w:r>
      <w:r>
        <w:rPr>
          <w:rFonts w:cs="Times New Roman;Times New Roman PSMT" w:ascii="Cambria" w:hAnsi="Cambria"/>
          <w:i w:val="false"/>
          <w:iCs w:val="false"/>
          <w:sz w:val="18"/>
          <w:szCs w:val="18"/>
        </w:rPr>
        <w:t>Sem prejuízo do processo e das penas cominadas, a Justiça Eleitoral adotará medidas para fazer impedir ou cessar imediatamente a propaganda realizada com infração do disposto neste artigo”.</w:t>
      </w:r>
    </w:p>
  </w:footnote>
  <w:footnote w:id="7">
    <w:p>
      <w:pPr>
        <w:pStyle w:val="SemEspaamento"/>
        <w:bidi w:val="0"/>
        <w:jc w:val="both"/>
        <w:rPr>
          <w:rFonts w:ascii="Cambria" w:hAnsi="Cambria"/>
          <w:i w:val="false"/>
          <w:i w:val="false"/>
          <w:iCs w:val="false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eastAsia="Times New Roman;Times New Roman PSMT" w:cs="Times New Roman;Times New Roman PSMT" w:ascii="Cambria" w:hAnsi="Cambria"/>
          <w:i w:val="false"/>
          <w:iCs w:val="false"/>
          <w:sz w:val="18"/>
          <w:szCs w:val="18"/>
        </w:rPr>
        <w:t xml:space="preserve"> </w:t>
      </w:r>
      <w:r>
        <w:rPr>
          <w:rFonts w:ascii="Cambria" w:hAnsi="Cambria"/>
          <w:i w:val="false"/>
          <w:iCs w:val="false"/>
          <w:sz w:val="18"/>
          <w:szCs w:val="18"/>
        </w:rPr>
        <w:t>Dispõe o art. 40-B, da Lei n.º 9504/97, com a redação que lhe foi dada pela Lei n.º 12034/09: “Art. 40-B. A representação relativa à propaganda irregular deve ser instruída com prova da autoria ou do prévio conhecimento do beneficiário, caso este não seja por ela responsável. Parágrafo único. A responsabilidade do candidato estará demonstrada se este, intimado da existência da propaganda irregular, não providenciar, no prazo de quarenta e oito horas, sua retirada ou regularização e, ainda, se as circunstâncias e as peculiaridades do caso específico revelarem a impossibilidade de o beneficiário não ter tido conhecimento da propaganda”.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SemEspaamento">
    <w:name w:val="Sem Espaçamento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;Times New Roman PSMT" w:hAnsi="Times New Roman;Times New Roman PSMT" w:eastAsia="SimSun;宋体" w:cs="Mangal;Courier New"/>
      <w:color w:val="auto"/>
      <w:kern w:val="2"/>
      <w:sz w:val="24"/>
      <w:szCs w:val="21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6</Pages>
  <Words>1506</Words>
  <Characters>8520</Characters>
  <CharactersWithSpaces>9996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2023-06-08T11:09:40Z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