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0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 xml:space="preserve">Ofício Circular n. </w:t>
      </w:r>
      <w:r>
        <w:rPr>
          <w:rFonts w:cs="Tahoma" w:ascii="Cambria" w:hAnsi="Cambria"/>
          <w:color w:val="FF0000"/>
          <w:sz w:val="24"/>
        </w:rPr>
        <w:t>XX/2024</w:t>
      </w:r>
    </w:p>
    <w:p>
      <w:pPr>
        <w:pStyle w:val="Normal"/>
        <w:spacing w:lineRule="auto" w:line="276" w:before="120" w:after="0"/>
        <w:jc w:val="both"/>
        <w:rPr>
          <w:rFonts w:ascii="Cambria" w:hAnsi="Cambria" w:cs="Tahoma"/>
          <w:sz w:val="24"/>
        </w:rPr>
      </w:pPr>
      <w:r>
        <w:rPr>
          <w:rFonts w:cs="Tahoma" w:ascii="Cambria" w:hAnsi="Cambria"/>
          <w:sz w:val="24"/>
        </w:rPr>
      </w:r>
    </w:p>
    <w:p>
      <w:pPr>
        <w:pStyle w:val="Normal"/>
        <w:spacing w:lineRule="auto" w:line="276" w:before="120" w:after="0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ab/>
        <w:tab/>
        <w:tab/>
        <w:tab/>
        <w:tab/>
        <w:tab/>
        <w:tab/>
        <w:tab/>
      </w:r>
      <w:r>
        <w:rPr>
          <w:rFonts w:cs="Tahoma" w:ascii="Cambria" w:hAnsi="Cambria"/>
          <w:color w:val="FF0000"/>
          <w:sz w:val="24"/>
        </w:rPr>
        <w:t xml:space="preserve">XXXX, XX </w:t>
      </w:r>
      <w:r>
        <w:rPr>
          <w:rFonts w:cs="Tahoma" w:ascii="Cambria" w:hAnsi="Cambria"/>
          <w:sz w:val="24"/>
        </w:rPr>
        <w:t>de _____ de 2024</w:t>
      </w:r>
    </w:p>
    <w:p>
      <w:pPr>
        <w:pStyle w:val="Normal"/>
        <w:spacing w:lineRule="auto" w:line="276" w:before="120" w:after="0"/>
        <w:jc w:val="both"/>
        <w:rPr>
          <w:rFonts w:ascii="Cambria" w:hAnsi="Cambria" w:cs="Tahoma"/>
          <w:sz w:val="24"/>
        </w:rPr>
      </w:pPr>
      <w:r>
        <w:rPr>
          <w:rFonts w:cs="Tahoma" w:ascii="Cambria" w:hAnsi="Cambria"/>
          <w:sz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Prezados responsáveis legais de jornais, revistas e periódicos em geral: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art. 36, da Lei n. 9.504/97 proíbe qualquer propaganda eleitoral </w:t>
      </w:r>
      <w:r>
        <w:rPr>
          <w:rFonts w:cs="Tahoma" w:ascii="Cambria" w:hAnsi="Cambria"/>
          <w:b/>
          <w:sz w:val="24"/>
        </w:rPr>
        <w:t xml:space="preserve">antes de </w:t>
      </w:r>
      <w:r>
        <w:rPr>
          <w:rFonts w:cs="Tahoma" w:ascii="Cambria" w:hAnsi="Cambria"/>
          <w:b/>
          <w:sz w:val="24"/>
        </w:rPr>
        <w:t>16</w:t>
      </w:r>
      <w:r>
        <w:rPr>
          <w:rFonts w:cs="Tahoma" w:ascii="Cambria" w:hAnsi="Cambria"/>
          <w:b/>
          <w:sz w:val="24"/>
        </w:rPr>
        <w:t xml:space="preserve"> de </w:t>
      </w:r>
      <w:r>
        <w:rPr>
          <w:rFonts w:cs="Tahoma" w:ascii="Cambria" w:hAnsi="Cambria"/>
          <w:b/>
          <w:sz w:val="24"/>
        </w:rPr>
        <w:t>agosto</w:t>
      </w:r>
      <w:r>
        <w:rPr>
          <w:rFonts w:cs="Tahoma" w:ascii="Cambria" w:hAnsi="Cambria"/>
          <w:b/>
          <w:sz w:val="24"/>
        </w:rPr>
        <w:t xml:space="preserve"> de 202</w:t>
      </w:r>
      <w:r>
        <w:rPr>
          <w:rFonts w:cs="Tahoma" w:ascii="Cambria" w:hAnsi="Cambria"/>
          <w:b/>
          <w:sz w:val="24"/>
        </w:rPr>
        <w:t>4</w:t>
      </w:r>
      <w:r>
        <w:rPr>
          <w:rFonts w:cs="Tahoma" w:ascii="Cambria" w:hAnsi="Cambria"/>
          <w:sz w:val="24"/>
        </w:rPr>
        <w:t>, prevendo multa de R$ 5.000,00 a R$ 25.000,00 para o seu descumprimento;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art. 36-A permite a livre manifestação do pensamento, ainda que consista em divulgação de pré-candidatura, em exaltação das qualidades pessoais e profissionais do pré-candidato e em menção às ações por ele empreendidas e aos seus projetos e programas a implantar caso eleito, desde que não haja pedido de votos claro e induvidoso, não necessariamente só pelo “vote em mim”, mas também por expressões semelhantes, denominadas pela jurisprudência do TSE, como “palavras mágicas”, ou seja, que dizem a mesma coisa;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mesmo art. 36-A, quando combinado com o art. 22-A, da mesma lei, pressupõe que a divulgação daquelas informações se dê no contexto do desejável debate político, sem implicar ônus para o partido, para o candidato ou para o próprio veículo de comunicação, já que a lei só permite a arrecadação e o gasto de campanha após o pedido de registro, a obtenção do CNPJ e a abertura da conta de campanha, o que ocorrerá em 202</w:t>
      </w:r>
      <w:r>
        <w:rPr>
          <w:rFonts w:cs="Tahoma" w:ascii="Cambria" w:hAnsi="Cambria"/>
          <w:sz w:val="24"/>
        </w:rPr>
        <w:t>4</w:t>
      </w:r>
      <w:r>
        <w:rPr>
          <w:rFonts w:cs="Tahoma" w:ascii="Cambria" w:hAnsi="Cambria"/>
          <w:sz w:val="24"/>
        </w:rPr>
        <w:t xml:space="preserve"> apenas em </w:t>
      </w:r>
      <w:r>
        <w:rPr>
          <w:rFonts w:cs="Tahoma" w:ascii="Cambria" w:hAnsi="Cambria"/>
          <w:sz w:val="24"/>
        </w:rPr>
        <w:t>meados de agosto</w:t>
      </w:r>
      <w:r>
        <w:rPr>
          <w:rFonts w:cs="Tahom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>, portanto, que qualquer matéria paga ou cedida, especialmente anúncio que não se revele como mera opinião do editor ou articulista, em favor de pré-candidatos ou partidos/coligações, caracteriza infração à lei passível de punição;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a ausência de vedação às empresas jornalísticas de tratamento privilegiado a candidatos e partidos não autoriza jornais e revistas, inclusive nos seus editoriais, a fazer típica propaganda eleitoral (diferente de emitir a tão só opinião favorável ou contrária), ao ponto de promover-lhes ou desconstruir-lhes a candidatura, porque tal conduta abusiva pode assumir gravidade suficiente a afetar a normalidade e legitimidade das eleições, além de propaganda extemporânea, pode configurar abuso de poder pela utilização indevida de veículos ou meios de comunicação, nos termos do art. 22, da LC 64/90;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>C</w:t>
      </w:r>
      <w:r>
        <w:rPr>
          <w:rFonts w:cs="Tahoma" w:ascii="Cambria" w:hAnsi="Cambria"/>
          <w:b/>
          <w:sz w:val="24"/>
        </w:rPr>
        <w:t>ONSIDERANDO</w:t>
      </w:r>
      <w:r>
        <w:rPr>
          <w:rFonts w:cs="Tahoma" w:ascii="Cambria" w:hAnsi="Cambria"/>
          <w:sz w:val="24"/>
        </w:rPr>
        <w:t xml:space="preserve"> que o abuso de poder econômico, político ou dos veículos de comunicação acarreta para o agente a inelegibilidade de oito anos prevista no art. 1º, I, “d”, da LC n. 64/90, e a cassação do registro ou do diploma do candidato beneficiado, ainda que ele não tenha participado ou contribuído para a prática;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que, mesmo no período permito pela lei, a propaganda eleitoral paga na imprensa escrita deve observar rigorosamente as disposições do art. 43, da Lei 9.504/97 e do art. 42, da Resolução TSE n. 23.610/2019;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a </w:t>
      </w:r>
      <w:r>
        <w:rPr>
          <w:rFonts w:cs="Tahoma" w:ascii="Cambria" w:hAnsi="Cambria"/>
          <w:b/>
          <w:sz w:val="24"/>
        </w:rPr>
        <w:t>divulgação de qualquer pesquisa eleitoral</w:t>
      </w:r>
      <w:r>
        <w:rPr>
          <w:rFonts w:cs="Tahoma" w:ascii="Cambria" w:hAnsi="Cambria"/>
          <w:sz w:val="24"/>
        </w:rPr>
        <w:t xml:space="preserve"> deve observar rigorosamente as disposições da Resolução TSE n. 23.600/2019;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Ministério Público Eleitoral, na defesa do regime democrático e da lisura do pleito, </w:t>
      </w:r>
      <w:r>
        <w:rPr>
          <w:rFonts w:cs="Tahoma" w:ascii="Cambria" w:hAnsi="Cambria"/>
          <w:b/>
          <w:sz w:val="24"/>
        </w:rPr>
        <w:t>pode e deve atuar preventivamente</w:t>
      </w:r>
      <w:r>
        <w:rPr>
          <w:rFonts w:cs="Tahoma" w:ascii="Cambria" w:hAnsi="Cambria"/>
          <w:sz w:val="24"/>
        </w:rPr>
        <w:t>, contribuindo para que se evitem os atos viciosos das eleições – como os aqui indicados – e se produzam resultados eleitorais legítimos;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INFORMA, preventivamente</w:t>
      </w:r>
      <w:r>
        <w:rPr>
          <w:rFonts w:cs="Tahoma" w:ascii="Cambria" w:hAnsi="Cambria"/>
          <w:sz w:val="24"/>
        </w:rPr>
        <w:t>, aos Srs. Responsáveis Legais dos Jornais, Revistas e periódicos em geral desta Zona Eleitoral para que, em conformidade com a legislação eleitoral: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1)</w:t>
      </w:r>
      <w:r>
        <w:rPr>
          <w:rFonts w:cs="Tahoma" w:ascii="Cambria" w:hAnsi="Cambria"/>
          <w:sz w:val="24"/>
        </w:rPr>
        <w:t xml:space="preserve"> no editorial e no noticiário, se abstenham de fazer propaganda eleitoral de pré-candidatos, candidatos, partidos ou coligações, limitando-se à manifestação do pensamento político, que pode incluir a divulgação de pré-candidaturas, de qualidades pessoais e profissionais de pretensos concorrentes e de ações por eles empreendidas e a empreender, sem que fique clara e induvidosa a intenção de convencer o eleitor ao voto;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2)</w:t>
      </w:r>
      <w:r>
        <w:rPr>
          <w:rFonts w:cs="Tahoma" w:ascii="Cambria" w:hAnsi="Cambria"/>
          <w:sz w:val="24"/>
        </w:rPr>
        <w:t xml:space="preserve"> se abstenham da veiculação, </w:t>
      </w:r>
      <w:r>
        <w:rPr>
          <w:rFonts w:cs="Tahoma" w:ascii="Cambria" w:hAnsi="Cambria"/>
          <w:b/>
          <w:sz w:val="24"/>
        </w:rPr>
        <w:t>antes de 16 de agosto</w:t>
      </w:r>
      <w:r>
        <w:rPr>
          <w:rFonts w:cs="Tahoma" w:ascii="Cambria" w:hAnsi="Cambria"/>
          <w:sz w:val="24"/>
        </w:rPr>
        <w:t>, de qualquer matéria paga (por pré-candidatos, partidos ou terceiros, ou mesmo suportada pelo próprio jornal), que contenha a divulgação da pré-candidatura, das qualidades pessoais e profissionais do pré-candidato ou das ações por ele empreendidas ou a empreender, com ou sem pedido de voto;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3)</w:t>
      </w:r>
      <w:r>
        <w:rPr>
          <w:rFonts w:cs="Tahoma" w:ascii="Cambria" w:hAnsi="Cambria"/>
          <w:sz w:val="24"/>
        </w:rPr>
        <w:t xml:space="preserve"> mesmo no período permito pela lei, a propaganda eleitoral paga na imprensa escrita deve observar rigorosamente as disposições do art. 43, da Lei 9.504/97 e do art. 42, da Resolução TSE n. 23.610/2019;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4)</w:t>
      </w:r>
      <w:r>
        <w:rPr>
          <w:rFonts w:cs="Tahoma" w:ascii="Cambria" w:hAnsi="Cambria"/>
          <w:sz w:val="24"/>
        </w:rPr>
        <w:t xml:space="preserve"> só divulguem pesquisas eleitorais nos ternos e na forma determinada pela Resolução TSE 23.600/20</w:t>
      </w:r>
      <w:bookmarkStart w:id="0" w:name="_GoBack"/>
      <w:bookmarkEnd w:id="0"/>
      <w:r>
        <w:rPr>
          <w:rFonts w:cs="Tahoma" w:ascii="Cambria" w:hAnsi="Cambria"/>
          <w:sz w:val="24"/>
        </w:rPr>
        <w:t>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5)</w:t>
      </w:r>
      <w:r>
        <w:rPr>
          <w:rFonts w:cs="Tahoma" w:ascii="Cambria" w:hAnsi="Cambria"/>
          <w:sz w:val="24"/>
        </w:rPr>
        <w:t xml:space="preserve"> todos os seus articulistas, redatores e colaboradores sejam cientificados a também adotarem as cautelas acima descritas;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>Por fim, lembra, que a interpretação e aplicação da lei são de responsabilidade da respectiva empresa de comunicação com auxílio da sua assessoria jurídica, bem como que a inobservância das mencionadas vedações sujeita a empresa jornalística, seus diretores, editores e articulistas, à pena pecuniária de R$ 5.000,00 a R$ 25.000,00 (art. 36, § 3º, da Lei n. 9.504/97) e à inelegibilidade (art. 1º, I, “d”, da LC n. 64/90) e o candidato beneficiado à cassação do registro ou do diploma (art. 22, XIV, da LC n. 64/90).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>Na oportunidade, renovamos protesto de elevada estima e consideração.</w:t>
      </w:r>
    </w:p>
    <w:p>
      <w:pPr>
        <w:pStyle w:val="Normal"/>
        <w:spacing w:lineRule="auto" w:line="276" w:before="12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 w:before="120" w:after="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shd w:fill="auto" w:val="clear"/>
        </w:rPr>
        <w:t>Promotor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796</Words>
  <Characters>4327</Characters>
  <CharactersWithSpaces>5111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2023-06-10T13:15:40Z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