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 xml:space="preserve">Autos de RRC n. </w:t>
      </w:r>
      <w:r>
        <w:rPr>
          <w:rFonts w:cs="Tahoma" w:ascii="Cambria" w:hAnsi="Cambria"/>
          <w:b/>
          <w:bCs/>
          <w:sz w:val="24"/>
          <w:szCs w:val="24"/>
          <w:shd w:fill="FFFF00" w:val="clear"/>
        </w:rPr>
        <w:t>XXXX</w:t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>O MINISTÉRIO PÚBLICO</w:t>
      </w:r>
      <w:r>
        <w:rPr>
          <w:rFonts w:cs="Tahoma" w:ascii="Cambria" w:hAnsi="Cambria"/>
          <w:sz w:val="24"/>
          <w:szCs w:val="24"/>
        </w:rPr>
        <w:t xml:space="preserve"> </w:t>
      </w:r>
      <w:r>
        <w:rPr>
          <w:rFonts w:cs="Tahoma" w:ascii="Cambria" w:hAnsi="Cambria"/>
          <w:b/>
          <w:bCs/>
          <w:sz w:val="24"/>
          <w:szCs w:val="24"/>
        </w:rPr>
        <w:t>ELEITORAL</w:t>
      </w:r>
      <w:r>
        <w:rPr>
          <w:rFonts w:cs="Tahoma" w:ascii="Cambria" w:hAnsi="Cambria"/>
          <w:sz w:val="24"/>
          <w:szCs w:val="24"/>
        </w:rPr>
        <w:t xml:space="preserve">, por seu representante legal que esta subscreve, vem, perante Vossa Excelência, apresentar </w:t>
      </w:r>
      <w:r>
        <w:rPr>
          <w:rFonts w:cs="Tahoma" w:ascii="Cambria" w:hAnsi="Cambria"/>
          <w:b/>
          <w:bCs/>
          <w:sz w:val="24"/>
          <w:szCs w:val="24"/>
        </w:rPr>
        <w:t>CONTRARRAZÕES EM RECURSO ELEITORAL</w:t>
      </w:r>
      <w:r>
        <w:rPr>
          <w:rFonts w:cs="Tahoma" w:ascii="Cambria" w:hAnsi="Cambria"/>
          <w:sz w:val="24"/>
          <w:szCs w:val="24"/>
        </w:rPr>
        <w:t>, requerendo o seu recebimento em todos os seus termos e o devido encaminhamento ao Egrégio Tribunal Regional Eleitoral para apreciação.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Local e data.</w:t>
      </w:r>
    </w:p>
    <w:p>
      <w:pPr>
        <w:pStyle w:val="Standard"/>
        <w:spacing w:lineRule="auto" w:line="360"/>
        <w:ind w:hanging="0"/>
        <w:jc w:val="center"/>
        <w:rPr>
          <w:rFonts w:ascii="Cambria" w:hAnsi="Cambria" w:cs="Tahoma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ind w:hanging="0"/>
        <w:jc w:val="center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Promotor(a) Eleitoral</w:t>
      </w:r>
      <w:r>
        <w:br w:type="page"/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i/>
          <w:i/>
          <w:iCs/>
          <w:sz w:val="24"/>
          <w:szCs w:val="24"/>
        </w:rPr>
      </w:pPr>
      <w:r>
        <w:rPr>
          <w:rFonts w:cs="Tahoma" w:ascii="Cambria" w:hAnsi="Cambria"/>
          <w:b/>
          <w:bCs/>
          <w:i/>
          <w:iCs/>
          <w:sz w:val="24"/>
          <w:szCs w:val="24"/>
        </w:rPr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>EGRÉGIO TRIBUNAL REGIONAL ELEITORAL DO TOCANTINS</w:t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 xml:space="preserve">Autos de RRC n. </w:t>
      </w:r>
      <w:r>
        <w:rPr>
          <w:rFonts w:cs="Tahoma" w:ascii="Cambria" w:hAnsi="Cambria"/>
          <w:b/>
          <w:bCs/>
          <w:sz w:val="24"/>
          <w:szCs w:val="24"/>
          <w:shd w:fill="FFFF00" w:val="clear"/>
        </w:rPr>
        <w:t>XXXX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 xml:space="preserve">Recorrente: </w:t>
      </w:r>
      <w:r>
        <w:rPr>
          <w:rFonts w:cs="Tahoma" w:ascii="Cambria" w:hAnsi="Cambria"/>
          <w:sz w:val="24"/>
          <w:szCs w:val="24"/>
          <w:shd w:fill="FFFF00" w:val="clear"/>
        </w:rPr>
        <w:t>XXXX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>Recorrido:</w:t>
      </w:r>
      <w:r>
        <w:rPr>
          <w:rFonts w:cs="Tahoma" w:ascii="Cambria" w:hAnsi="Cambria"/>
          <w:sz w:val="24"/>
          <w:szCs w:val="24"/>
        </w:rPr>
        <w:t xml:space="preserve"> Ministério Público Eleitoral</w:t>
      </w:r>
    </w:p>
    <w:p>
      <w:pPr>
        <w:pStyle w:val="Standard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</w:r>
    </w:p>
    <w:p>
      <w:pPr>
        <w:pStyle w:val="Standard"/>
        <w:spacing w:lineRule="auto" w:line="360"/>
        <w:jc w:val="center"/>
        <w:rPr>
          <w:sz w:val="24"/>
          <w:szCs w:val="24"/>
        </w:rPr>
      </w:pPr>
      <w:r>
        <w:rPr>
          <w:rFonts w:cs="Tahoma" w:ascii="Cambria" w:hAnsi="Cambria"/>
          <w:bCs/>
          <w:sz w:val="24"/>
          <w:szCs w:val="24"/>
          <w:u w:val="single"/>
        </w:rPr>
        <w:t>CONTRARRAZÕES EM RECURSO ELEITORAL</w:t>
      </w:r>
    </w:p>
    <w:p>
      <w:pPr>
        <w:pStyle w:val="Standard"/>
        <w:spacing w:lineRule="auto" w:line="360"/>
        <w:jc w:val="center"/>
        <w:rPr>
          <w:rFonts w:ascii="Cambria" w:hAnsi="Cambria" w:cs="Tahoma"/>
          <w:bCs/>
          <w:sz w:val="24"/>
          <w:szCs w:val="24"/>
          <w:u w:val="single"/>
        </w:rPr>
      </w:pPr>
      <w:r>
        <w:rPr>
          <w:rFonts w:cs="Tahoma" w:ascii="Cambria" w:hAnsi="Cambria"/>
          <w:bCs/>
          <w:sz w:val="24"/>
          <w:szCs w:val="24"/>
          <w:u w:val="single"/>
        </w:rPr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sz w:val="24"/>
          <w:szCs w:val="24"/>
          <w:u w:val="single"/>
        </w:rPr>
      </w:pPr>
      <w:r>
        <w:rPr>
          <w:rFonts w:cs="Tahoma" w:ascii="Cambria" w:hAnsi="Cambria"/>
          <w:b/>
          <w:bCs/>
          <w:sz w:val="24"/>
          <w:szCs w:val="24"/>
          <w:u w:val="single"/>
        </w:rPr>
      </w:r>
    </w:p>
    <w:p>
      <w:pPr>
        <w:pStyle w:val="Standard"/>
        <w:spacing w:lineRule="auto" w:line="360"/>
        <w:ind w:firstLine="851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>Douto Procurador Regional Eleitoral,</w:t>
      </w:r>
    </w:p>
    <w:p>
      <w:pPr>
        <w:pStyle w:val="Standard"/>
        <w:spacing w:lineRule="auto" w:line="360"/>
        <w:ind w:firstLine="1985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>Egrégio Tribunal Regional Eleitoral,</w:t>
      </w:r>
    </w:p>
    <w:p>
      <w:pPr>
        <w:pStyle w:val="Standard"/>
        <w:spacing w:lineRule="auto" w:line="360"/>
        <w:ind w:firstLine="3119"/>
        <w:jc w:val="both"/>
        <w:rPr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  <w:t>Ínclitos Julgadores,</w:t>
      </w:r>
    </w:p>
    <w:p>
      <w:pPr>
        <w:pStyle w:val="Standard"/>
        <w:spacing w:lineRule="auto" w:line="360"/>
        <w:ind w:firstLine="3119"/>
        <w:jc w:val="both"/>
        <w:rPr>
          <w:rFonts w:ascii="Cambria" w:hAnsi="Cambria" w:cs="Tahoma"/>
          <w:b/>
          <w:b/>
          <w:bCs/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Cambria" w:hAnsi="Cambria" w:cs="Tahoma"/>
          <w:b/>
          <w:b/>
          <w:bCs/>
          <w:sz w:val="24"/>
          <w:szCs w:val="24"/>
        </w:rPr>
      </w:pPr>
      <w:r>
        <w:rPr>
          <w:rFonts w:cs="Tahoma" w:ascii="Cambria" w:hAnsi="Cambria"/>
          <w:b/>
          <w:bCs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O </w:t>
      </w:r>
      <w:r>
        <w:rPr>
          <w:rFonts w:cs="Tahoma" w:ascii="Cambria" w:hAnsi="Cambria"/>
          <w:b/>
          <w:sz w:val="24"/>
          <w:szCs w:val="24"/>
        </w:rPr>
        <w:t>Ministério Público Eleitoral</w:t>
      </w:r>
      <w:r>
        <w:rPr>
          <w:rFonts w:cs="Tahoma" w:ascii="Cambria" w:hAnsi="Cambria"/>
          <w:sz w:val="24"/>
          <w:szCs w:val="24"/>
        </w:rPr>
        <w:t>, por seu Promotor Eleitoral que ao final subscreve, no uso de suas atribuições legais e em face do recurso interposto nos presentes autos, vem oferecer suas CONTRARRAZÕES DE RECURSO ELEITORAL, aduzindo os seguintes fundamentos de fato e de direito.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b/>
          <w:sz w:val="24"/>
          <w:szCs w:val="24"/>
        </w:rPr>
        <w:t>1 – Dos fatos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sz w:val="24"/>
          <w:szCs w:val="24"/>
        </w:rPr>
      </w:pPr>
      <w:r>
        <w:rPr>
          <w:rFonts w:cs="Tahoma" w:ascii="Cambria" w:hAnsi="Cambria"/>
          <w:b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Compulsando os autos, verifica-se que o candidato recorrente apresentou requerimento de registro de candidatura (RRC) junto à Justiça Eleitoral, tendo sido publicado o respectivo edital de registro.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No prazo legal, o Ministério Público Eleitoral apresentou impugnação de registro de candidatura (AIRC) em desfavor do recorrente, haja vista </w:t>
      </w:r>
      <w:r>
        <w:rPr>
          <w:rFonts w:cs="Tahoma" w:ascii="Cambria" w:hAnsi="Cambria"/>
          <w:sz w:val="24"/>
          <w:szCs w:val="24"/>
          <w:shd w:fill="FFFF00" w:val="clear"/>
        </w:rPr>
        <w:t>XXXX (citar o motivo da impugnação.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O recorrente apresentou defesa contra a impugnação feita pelo Ministério Público Eleitoral.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Por meio da sentença, o magistrado julgou procedente o pedido de impugnação feita pelo </w:t>
      </w:r>
      <w:r>
        <w:rPr>
          <w:rFonts w:cs="Tahoma" w:ascii="Cambria" w:hAnsi="Cambria"/>
          <w:i/>
          <w:sz w:val="24"/>
          <w:szCs w:val="24"/>
        </w:rPr>
        <w:t>Parquet</w:t>
      </w:r>
      <w:r>
        <w:rPr>
          <w:rFonts w:cs="Tahoma" w:ascii="Cambria" w:hAnsi="Cambria"/>
          <w:sz w:val="24"/>
          <w:szCs w:val="24"/>
        </w:rPr>
        <w:t xml:space="preserve"> e indeferiu o registro de candidatura do candidato recorrente.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Foi interposto recurso contra a decisão proferida pelo magistrado, tendo sido apresentadas, conjuntamente, as respectivas razões recursais.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Vieram os autos ao Ministério Público Eleitoral para apresentação de contrarrazões.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b/>
          <w:sz w:val="24"/>
          <w:szCs w:val="24"/>
        </w:rPr>
        <w:t>2 – Da admissibilidade recursal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i/>
          <w:sz w:val="24"/>
          <w:szCs w:val="24"/>
        </w:rPr>
        <w:t>Ab initio</w:t>
      </w:r>
      <w:r>
        <w:rPr>
          <w:rFonts w:cs="Tahoma" w:ascii="Cambria" w:hAnsi="Cambria"/>
          <w:sz w:val="24"/>
          <w:szCs w:val="24"/>
        </w:rPr>
        <w:t>, convém salientar que o recurso interposto preencheu as condições de admissibilidade necessárias para o seu conhecimento, visto que é previsto em lei, é tempestivo e consiste em meio adequado para insurgência contra a sentença proferida.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Além disso, verifica-se que o recorrente tem legitimidade e interesse para interposição do recurso, restando devidamente preenchidas as condições de admissibilidade exigidas para o seu conhecimento.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  <w:t>Constatado o preenchimento dos requisitos de admissibilidade, tanto objetivos quanto subjetivos, tem-se que o recurso deverá ser conhecido, passando-se à análise das razões recursais.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b/>
          <w:color w:val="000000"/>
          <w:sz w:val="24"/>
          <w:szCs w:val="24"/>
        </w:rPr>
        <w:t>3 – Das razões de recurso eleitoral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color w:val="000000"/>
          <w:sz w:val="24"/>
          <w:szCs w:val="24"/>
        </w:rPr>
      </w:pPr>
      <w:r>
        <w:rPr>
          <w:rFonts w:cs="Tahoma" w:ascii="Cambria" w:hAnsi="Cambria"/>
          <w:b/>
          <w:color w:val="000000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  <w:t xml:space="preserve">Em suas razões recursais, o recorrente, em síntese, alega que </w:t>
      </w:r>
      <w:r>
        <w:rPr>
          <w:rFonts w:cs="Tahoma" w:ascii="Cambria" w:hAnsi="Cambria"/>
          <w:color w:val="000000"/>
          <w:sz w:val="24"/>
          <w:szCs w:val="24"/>
          <w:shd w:fill="FFFF00" w:val="clear"/>
        </w:rPr>
        <w:t>XXXX</w:t>
      </w:r>
      <w:r>
        <w:rPr>
          <w:rFonts w:cs="Tahoma" w:ascii="Cambria" w:hAnsi="Cambria"/>
          <w:color w:val="000000"/>
          <w:sz w:val="24"/>
          <w:szCs w:val="24"/>
        </w:rPr>
        <w:t>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  <w:t>Não assiste razão ao recorrente. Senão vejamos.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Deverá ser julgado </w:t>
      </w:r>
      <w:r>
        <w:rPr>
          <w:rFonts w:cs="Tahoma" w:ascii="Cambria" w:hAnsi="Cambria"/>
          <w:sz w:val="24"/>
          <w:szCs w:val="24"/>
          <w:u w:val="single"/>
        </w:rPr>
        <w:t>improcedente</w:t>
      </w:r>
      <w:r>
        <w:rPr>
          <w:rFonts w:cs="Tahoma" w:ascii="Cambria" w:hAnsi="Cambria"/>
          <w:sz w:val="24"/>
          <w:szCs w:val="24"/>
        </w:rPr>
        <w:t xml:space="preserve"> o Recurso apresentado pelo Candidato, com a consequente manutenção do </w:t>
      </w:r>
      <w:r>
        <w:rPr>
          <w:rFonts w:cs="Tahoma" w:ascii="Cambria" w:hAnsi="Cambria"/>
          <w:b/>
          <w:sz w:val="24"/>
          <w:szCs w:val="24"/>
        </w:rPr>
        <w:t xml:space="preserve">indeferimento </w:t>
      </w:r>
      <w:r>
        <w:rPr>
          <w:rFonts w:cs="Tahoma" w:ascii="Cambria" w:hAnsi="Cambria"/>
          <w:sz w:val="24"/>
          <w:szCs w:val="24"/>
        </w:rPr>
        <w:t>do registro de sua candidatura. Senão vejamos.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Como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é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cediço,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para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que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uma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pessoa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venha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registrar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sua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candidatura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junto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à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Justiça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Eleitoral,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passando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obter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direito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de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ser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votado,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deve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atender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às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b/>
          <w:sz w:val="24"/>
          <w:szCs w:val="24"/>
          <w:lang w:eastAsia="pt-BR"/>
        </w:rPr>
        <w:t>condições</w:t>
      </w:r>
      <w:r>
        <w:rPr>
          <w:rFonts w:eastAsia="Verdana" w:cs="Tahoma" w:ascii="Cambria" w:hAnsi="Cambria"/>
          <w:b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b/>
          <w:sz w:val="24"/>
          <w:szCs w:val="24"/>
          <w:lang w:eastAsia="pt-BR"/>
        </w:rPr>
        <w:t>de</w:t>
      </w:r>
      <w:r>
        <w:rPr>
          <w:rFonts w:eastAsia="Verdana" w:cs="Tahoma" w:ascii="Cambria" w:hAnsi="Cambria"/>
          <w:b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b/>
          <w:sz w:val="24"/>
          <w:szCs w:val="24"/>
          <w:lang w:eastAsia="pt-BR"/>
        </w:rPr>
        <w:t>elegibilidade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previstas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no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art.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14,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§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3º,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da Constituição</w:t>
      </w:r>
      <w:r>
        <w:rPr>
          <w:rFonts w:cs="Tahoma" w:ascii="Cambria" w:hAnsi="Cambria"/>
          <w:sz w:val="24"/>
          <w:szCs w:val="24"/>
          <w:lang w:eastAsia="pt-BR"/>
        </w:rPr>
        <w:t xml:space="preserve">, e não incidir em nenhuma </w:t>
      </w:r>
      <w:r>
        <w:rPr>
          <w:rFonts w:cs="Tahoma" w:ascii="Cambria" w:hAnsi="Cambria"/>
          <w:b/>
          <w:sz w:val="24"/>
          <w:szCs w:val="24"/>
          <w:lang w:eastAsia="pt-BR"/>
        </w:rPr>
        <w:t>causa de inelegibilidade</w:t>
      </w:r>
      <w:r>
        <w:rPr>
          <w:rFonts w:cs="Tahoma" w:ascii="Cambria" w:hAnsi="Cambria"/>
          <w:sz w:val="24"/>
          <w:szCs w:val="24"/>
          <w:lang w:eastAsia="pt-BR"/>
        </w:rPr>
        <w:t xml:space="preserve"> previ</w:t>
      </w:r>
      <w:r>
        <w:rPr>
          <w:rFonts w:eastAsia="Verdana" w:cs="Tahoma" w:ascii="Cambria" w:hAnsi="Cambria"/>
          <w:sz w:val="24"/>
          <w:szCs w:val="24"/>
          <w:lang w:eastAsia="pt-BR"/>
        </w:rPr>
        <w:t>sta na Constituição ou na Lei Complementar 64/90.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No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caso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em análise,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verifica-se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que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recorrente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não preenche todos os requ</w:t>
      </w:r>
      <w:r>
        <w:rPr>
          <w:rFonts w:cs="Tahoma" w:ascii="Cambria" w:hAnsi="Cambria"/>
          <w:sz w:val="24"/>
          <w:szCs w:val="24"/>
          <w:lang w:eastAsia="pt-BR"/>
        </w:rPr>
        <w:t>isitos constitucionais e legais para ser candidato, pois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 xml:space="preserve"> XXXXX (citar a condição de elegibilidade faltante ou a causa de inelegibilidade existente)</w:t>
      </w:r>
      <w:r>
        <w:rPr>
          <w:rFonts w:cs="Tahoma" w:ascii="Cambria" w:hAnsi="Cambria"/>
          <w:sz w:val="24"/>
          <w:szCs w:val="24"/>
          <w:lang w:eastAsia="pt-BR"/>
        </w:rPr>
        <w:t xml:space="preserve">, nos termos do art. XXXXX.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(citara base legal)</w:t>
      </w:r>
      <w:r>
        <w:rPr>
          <w:rFonts w:cs="Tahoma" w:ascii="Cambria" w:hAnsi="Cambria"/>
          <w:sz w:val="24"/>
          <w:szCs w:val="24"/>
          <w:lang w:eastAsia="pt-BR"/>
        </w:rPr>
        <w:t>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 xml:space="preserve">Dessa forma, correta a decisão do juiz eleitoral que reconheceu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XXX</w:t>
      </w:r>
      <w:r>
        <w:rPr>
          <w:rFonts w:cs="Tahoma" w:ascii="Cambria" w:hAnsi="Cambria"/>
          <w:sz w:val="24"/>
          <w:szCs w:val="24"/>
          <w:lang w:eastAsia="pt-BR"/>
        </w:rPr>
        <w:t>, indeferindo o registro de candidatura do recorrente.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Com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efeito,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recorrente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XXXXX</w:t>
      </w:r>
      <w:r>
        <w:rPr>
          <w:rFonts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 xml:space="preserve">(explicar a condição de elegibilidade não preenchida ou causa de inelegibilidade existente com todos os seus detalhes e requisitos, indicando as provas inclusive, bem como </w:t>
      </w:r>
      <w:r>
        <w:rPr>
          <w:rFonts w:cs="Tahoma" w:ascii="Cambria" w:hAnsi="Cambria"/>
          <w:b/>
          <w:sz w:val="24"/>
          <w:szCs w:val="24"/>
          <w:shd w:fill="FFFF00" w:val="clear"/>
          <w:lang w:eastAsia="pt-BR"/>
        </w:rPr>
        <w:t>afastando eventuais teses defensivas do recorrente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 xml:space="preserve">Nesse sentido, a prova produzida demonstra que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XXX (abordar a prova documental e/ou testemunhal que comprova o alegado na AIRC</w:t>
      </w:r>
      <w:r>
        <w:rPr>
          <w:rFonts w:cs="Tahoma" w:ascii="Cambria" w:hAnsi="Cambria"/>
          <w:sz w:val="24"/>
          <w:szCs w:val="24"/>
          <w:lang w:eastAsia="pt-BR"/>
        </w:rPr>
        <w:t>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 xml:space="preserve">Sobre esta causa de inelegibilidade leciona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XXXX</w:t>
      </w:r>
      <w:r>
        <w:rPr>
          <w:rFonts w:cs="Tahoma" w:ascii="Cambria" w:hAnsi="Cambria"/>
          <w:sz w:val="24"/>
          <w:szCs w:val="24"/>
          <w:lang w:eastAsia="pt-BR"/>
        </w:rPr>
        <w:t>:</w:t>
      </w:r>
    </w:p>
    <w:p>
      <w:pPr>
        <w:pStyle w:val="Standard"/>
        <w:widowControl w:val="false"/>
        <w:spacing w:lineRule="auto" w:line="360" w:before="240" w:after="0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(citar alguma doutrina)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Ademais, a jurisprudência dos Tribunais Eleitorais, também confirma a necessidade do indeferimento do registro, como se observa:</w:t>
      </w:r>
    </w:p>
    <w:p>
      <w:pPr>
        <w:pStyle w:val="Standard"/>
        <w:widowControl w:val="false"/>
        <w:spacing w:lineRule="auto" w:line="360" w:before="240" w:after="0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(citar 1 ou mais jurisprudências do TSE ou de TREs)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color w:val="000000"/>
          <w:sz w:val="24"/>
          <w:szCs w:val="24"/>
          <w:lang w:eastAsia="pt-BR"/>
        </w:rPr>
      </w:pPr>
      <w:r>
        <w:rPr>
          <w:rFonts w:cs="Tahoma" w:ascii="Cambria" w:hAnsi="Cambria"/>
          <w:color w:val="000000"/>
          <w:sz w:val="24"/>
          <w:szCs w:val="24"/>
          <w:lang w:eastAsia="pt-BR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Portanto, verifica-se que o recorrente não atende todos os requisitos constitucionais e legais para ser candidato, motivo pelo qual acertada a sentença do magistrado de piso que indeferiu o registro de candidatura do recorrente.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b/>
          <w:color w:val="000000"/>
          <w:sz w:val="24"/>
          <w:szCs w:val="24"/>
        </w:rPr>
        <w:t>4 - Conclusão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  <w:t xml:space="preserve">Ante o exposto, requer o </w:t>
      </w:r>
      <w:r>
        <w:rPr>
          <w:rFonts w:cs="Tahoma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cs="Tahoma" w:ascii="Cambria" w:hAnsi="Cambria"/>
          <w:color w:val="000000"/>
          <w:sz w:val="24"/>
          <w:szCs w:val="24"/>
        </w:rPr>
        <w:t xml:space="preserve"> que, uma vez conhecido, seja </w:t>
      </w:r>
      <w:r>
        <w:rPr>
          <w:rFonts w:cs="Tahoma" w:ascii="Cambria" w:hAnsi="Cambria"/>
          <w:b/>
          <w:color w:val="000000"/>
          <w:sz w:val="24"/>
          <w:szCs w:val="24"/>
        </w:rPr>
        <w:t>julgado improcedente</w:t>
      </w:r>
      <w:r>
        <w:rPr>
          <w:rFonts w:cs="Tahoma" w:ascii="Cambria" w:hAnsi="Cambria"/>
          <w:color w:val="000000"/>
          <w:sz w:val="24"/>
          <w:szCs w:val="24"/>
        </w:rPr>
        <w:t xml:space="preserve"> o presente recurso, para o fim de manter-se, na íntegra, a r. sentença atacada, por ser medida de Direito e de Justiça.</w:t>
      </w:r>
    </w:p>
    <w:p>
      <w:pPr>
        <w:pStyle w:val="Textbody"/>
        <w:spacing w:lineRule="auto" w:line="360"/>
        <w:ind w:firstLine="2835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  <w:t>Local e data.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</w:r>
    </w:p>
    <w:p>
      <w:pPr>
        <w:pStyle w:val="Textbody"/>
        <w:spacing w:lineRule="auto" w:line="360"/>
        <w:ind w:firstLine="2835"/>
        <w:rPr>
          <w:rFonts w:ascii="Cambria" w:hAnsi="Cambria" w:cs="Arial"/>
          <w:b/>
          <w:b/>
          <w:i/>
          <w:i/>
        </w:rPr>
      </w:pPr>
      <w:r>
        <w:rPr>
          <w:sz w:val="24"/>
          <w:szCs w:val="24"/>
        </w:rPr>
      </w:r>
    </w:p>
    <w:p>
      <w:pPr>
        <w:pStyle w:val="Textbody"/>
        <w:spacing w:lineRule="auto" w:line="360"/>
        <w:ind w:firstLine="2835"/>
        <w:jc w:val="both"/>
        <w:rPr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G Times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0"/>
      <w:sz w:val="20"/>
      <w:szCs w:val="20"/>
      <w:lang w:bidi="ar-SA" w:val="pt-BR" w:eastAsia="zh-CN"/>
    </w:rPr>
  </w:style>
  <w:style w:type="paragraph" w:styleId="Textbody">
    <w:name w:val="Text body"/>
    <w:basedOn w:val="Standard"/>
    <w:qFormat/>
    <w:pPr>
      <w:ind w:firstLine="3544"/>
      <w:jc w:val="both"/>
    </w:pPr>
    <w:rPr>
      <w:rFonts w:ascii="CG Times" w:hAnsi="CG Times" w:eastAsia="CG Times" w:cs="CG Tim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5</Pages>
  <Words>678</Words>
  <Characters>4012</Characters>
  <CharactersWithSpaces>4648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2023-06-07T06:28:39Z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