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AUTOS: ____/____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IMPUGNANTE: MINISTÉRIO PÚBLICO ELEITORAL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b/>
          <w:sz w:val="24"/>
          <w:szCs w:val="24"/>
        </w:rPr>
        <w:t>IMPUGNADO: ______</w:t>
      </w:r>
    </w:p>
    <w:p>
      <w:pPr>
        <w:pStyle w:val="Normal1"/>
        <w:keepNext w:val="false"/>
        <w:keepLines w:val="false"/>
        <w:pageBreakBefore w:val="false"/>
        <w:widowControl/>
        <w:pBdr/>
        <w:shd w:val="clear" w:fill="FFFFFF"/>
        <w:spacing w:lineRule="auto" w:line="276" w:before="200" w:after="0"/>
        <w:ind w:left="0" w:right="0" w:hanging="0"/>
        <w:jc w:val="both"/>
        <w:rPr>
          <w:rFonts w:ascii="Cambria" w:hAnsi="Cambria"/>
        </w:rPr>
      </w:pPr>
      <w:r>
        <w:rPr>
          <w:rFonts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widowControl w:val="false"/>
        <w:spacing w:lineRule="auto" w:line="276" w:before="200" w:after="120"/>
        <w:ind w:left="2268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O </w:t>
      </w:r>
      <w:r>
        <w:rPr>
          <w:rFonts w:ascii="Cambria" w:hAnsi="Cambria"/>
          <w:b/>
          <w:sz w:val="24"/>
          <w:szCs w:val="24"/>
        </w:rPr>
        <w:t>MINISTÉRIO PÚBLICO ELEITORAL</w:t>
      </w:r>
      <w:r>
        <w:rPr>
          <w:rFonts w:ascii="Cambria" w:hAnsi="Cambria"/>
          <w:sz w:val="24"/>
          <w:szCs w:val="24"/>
        </w:rPr>
        <w:t xml:space="preserve">, pelo Promotor ao final assinado, no regular exercício da delegação legal que lhe é conferida pelo art. 78, da LC 75/93, vem à presença de V. Exa., nos termos do art. 56 da Resolução n. 23.607/2019, do Tribunal Superior Eleitoral, apresentar a presente </w:t>
      </w:r>
      <w:r>
        <w:rPr>
          <w:rFonts w:ascii="Cambria" w:hAnsi="Cambria"/>
          <w:b/>
          <w:sz w:val="24"/>
          <w:szCs w:val="24"/>
        </w:rPr>
        <w:t>Impugnação à Prestação de Contas</w:t>
      </w:r>
      <w:r>
        <w:rPr>
          <w:rFonts w:ascii="Cambria" w:hAnsi="Cambria"/>
          <w:sz w:val="24"/>
          <w:szCs w:val="24"/>
        </w:rPr>
        <w:t xml:space="preserve"> de ______, devidamente qualificado nos autos, candidato a ______, em face das seguintes razões de fato e de direito: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XXXXXXXX apresentou, em __/___/___, sua prestação de contas final relativa a sua campanha, acompanhada dos extratos eletrônicos e documentos exigidos por lei.  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Não obstante, a prestação de contas indique aparente regularidade, o Ministério Público Eleitoral obteve documentos que contrariam as informações ali constantes, denotando a prática da(s) seguinte(s) irregularidade(s):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1) recebimento direto ou indireto de fontes vedadas;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2) extrapolação de limite de gastos;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3) omissão de receitas e gastos eleitorais;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4) outras.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color w:val="FF0000"/>
          <w:sz w:val="24"/>
          <w:szCs w:val="24"/>
        </w:rPr>
        <w:t xml:space="preserve"> </w:t>
      </w:r>
      <w:r>
        <w:rPr>
          <w:rFonts w:ascii="Cambria" w:hAnsi="Cambria"/>
          <w:color w:val="FF0000"/>
          <w:sz w:val="24"/>
          <w:szCs w:val="24"/>
        </w:rPr>
        <w:t>(Exemplo referente ao item 1)</w:t>
      </w:r>
      <w:r>
        <w:rPr>
          <w:rFonts w:ascii="Cambria" w:hAnsi="Cambria"/>
          <w:sz w:val="24"/>
          <w:szCs w:val="24"/>
        </w:rPr>
        <w:t xml:space="preserve"> Com efeito, embora conste na prestação de contas doações das pessoas físicas a seguir indicadas, em Procedimento Preparatório Eleitoral, e após obtenção da quebra do sigilo bancário dos supostos doadores (indicar), constatou-se que, na verdade, as doações foram provenientes da empresa XXXXXXXXXXXX, ou seja, caracterizou a doação indireta de pessoa jurídica, fonte não mais admitida no ordenamento jurídico eleitoral brasileiro. 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color w:val="FF0000"/>
          <w:sz w:val="24"/>
          <w:szCs w:val="24"/>
        </w:rPr>
        <w:t>(Exemplo referente ao item 2)</w:t>
      </w:r>
      <w:r>
        <w:rPr>
          <w:rFonts w:ascii="Cambria" w:hAnsi="Cambria"/>
          <w:sz w:val="24"/>
          <w:szCs w:val="24"/>
        </w:rPr>
        <w:t xml:space="preserve"> Com efeito, embora conste na prestação de contas que o candidato gastou somente R$ ________________ em sua campanha, os documentos ora apresentados indicam gastos não contabilizados que, acrescidos aos informados na prestação de contas, acabar por ultrapassar o limite legal. Além disso, o candidato informou que pagou pela locação de um veículo __________, o valor diário de R$ ______. Como na campanha foram utilizados 20 veículos deste tipo, durante 60 dias, a despesa total informada atingiu o valor de _________. Ocorre que o valor médio de mercado da diária para locação deste tipo de veículo é de __________, de modo que a despesa contabilizada deveria ser de _____________. Com este acréscimo, o valor total dos gastos passa de R$ ___________ para R$ _________, ultrapassando o limite de R$ __________ estabelecido por lei para candidatura de Prefeito deste município. 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color w:val="FF0000"/>
          <w:sz w:val="24"/>
          <w:szCs w:val="24"/>
        </w:rPr>
        <w:t>(Exemplo referente ao item 3)</w:t>
      </w:r>
      <w:r>
        <w:rPr>
          <w:rFonts w:ascii="Cambria" w:hAnsi="Cambria"/>
          <w:sz w:val="24"/>
          <w:szCs w:val="24"/>
        </w:rPr>
        <w:t xml:space="preserve"> Com efeito, constata-se na documentação ora apresentada, obtida em Procedimento Preparatório Eleitoral – PPE, regularmente instaurado, que o candidato efetuou gastos com a confecção de adesivos e propaganda impressa no valor de _________, que não informado na prestação de contas. Além disso, a Gráfica XXX não cobrou pela confecção dos referidos materiais, caracterizando uma doação estimável em espécie não contabilizada na prestação de contas, bem como a existência de uma contabilidade paralela, conhecida como Caixa 2. 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Como se sabe, os partidos políticos, as coligações e os candidatos são obrigados a apresentar à Justiça Eleitoral, em cada campanha, os dados relativos às respectivas contas, informando todo o fluxo financeiro e contábil relativo aos recursos recebidos e aos gastos realizados, com especificação dos valores e identificação dos doadores e fornecedores, a fim de que seja aferida a regularidade das contas. 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A existência de irregularidades graves acarreta a desaprovação das contas e pode ocorrer em caso de recebimento direto ou indireto de fontes vedadas; recebimento e utilização de recursos de origem não identificada; extrapolação no limite dos gastos; omissão de receitas e gastos eleitorais; não identificação dos doadores originários, nas doações recebidas de outros prestadores de contas; e ausência de cumprimento de formalidade considerada imprescindível pela legislação de regência. 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A Resolução nº 23.607/2019, que disciplina a arrecadação e os gastos de recursos por partidos políticos e candidatos e sobre a prestação de contas, regulamentando a Lei nº 9.504/97, estabelece quais os documentos e as informações que devem obrigatoriamente fazer parte da prestação de contas. 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A impugnação à prestação de contas prevista no art. 56 da Resolução nº 23.607/2019 é o momento adequado para o Ministério Público ou outro legitimado apresentar documentos ou informações, omitidos pelo prestador das contas, que demonstrem a verdadeira movimentação financeira da campanha eleitoral. 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No caso dos autos, a presente impugnação tem como fundamento a XXXXXXXXXX (especificar o motivo da impugnação). 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Impende salientar que, caso sejam julgadas desaprovadas ou não prestadas as contas, estão previstas penalidades que atingem diversamente partidos e candidatos: aos partidos políticos, acarreta o não repasse do Fundo Partidário, recurso público que ampara seu custeio; aos candidatos, no caso de não prestação, ocorre a perda da quitação eleitoral pelos próximos quatro anos, a qual lhes impõem várias limitações, dentre as quais candidatar-se nas eleições ou tomar posse em cargo público, por exemplo.</w:t>
      </w:r>
    </w:p>
    <w:p>
      <w:pPr>
        <w:pStyle w:val="Normal1"/>
        <w:widowControl w:val="false"/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>Em face do exposto, requer e espera o Ministério Público Eleitoral:</w:t>
      </w:r>
    </w:p>
    <w:p>
      <w:pPr>
        <w:pStyle w:val="Normal1"/>
        <w:widowControl w:val="false"/>
        <w:numPr>
          <w:ilvl w:val="0"/>
          <w:numId w:val="2"/>
        </w:numPr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Seja recebida a presente impugnação à prestação de contas e autuada em separado; </w:t>
      </w:r>
    </w:p>
    <w:p>
      <w:pPr>
        <w:pStyle w:val="Normal1"/>
        <w:widowControl w:val="false"/>
        <w:numPr>
          <w:ilvl w:val="0"/>
          <w:numId w:val="2"/>
        </w:numPr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Seja determinada a notificação do Impugnado para manifestação no prazo de três dias, nos termos do art. 56, § 2º da Resolução n. 23.607/2019; </w:t>
      </w:r>
    </w:p>
    <w:p>
      <w:pPr>
        <w:pStyle w:val="Normal1"/>
        <w:widowControl w:val="false"/>
        <w:numPr>
          <w:ilvl w:val="0"/>
          <w:numId w:val="2"/>
        </w:numPr>
        <w:spacing w:lineRule="auto" w:line="276" w:before="200" w:after="120"/>
        <w:ind w:left="0" w:right="-284" w:firstLine="1700"/>
        <w:jc w:val="both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Decorrido o prazo para manifestação, com ou sem resposta do impugnado, que o Cartório Eleitoral providencie o imediato apensamento da impugnação aos autos do processo de prestação de contas e sua pronta devolução, para a continuidade do exame, remetendo-os à unidade responsável pela análise técnica; </w:t>
      </w:r>
    </w:p>
    <w:p>
      <w:pPr>
        <w:pStyle w:val="Normal1"/>
        <w:widowControl w:val="false"/>
        <w:numPr>
          <w:ilvl w:val="0"/>
          <w:numId w:val="2"/>
        </w:numPr>
        <w:spacing w:lineRule="auto" w:line="276" w:before="200" w:after="120"/>
        <w:ind w:left="0" w:right="-284" w:firstLine="170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cs="Arial" w:ascii="Cambria" w:hAnsi="Cambria"/>
          <w:color w:val="000000"/>
          <w:sz w:val="24"/>
          <w:szCs w:val="24"/>
        </w:rPr>
        <w:t xml:space="preserve">Seja proferida decisão pela desaprovação das contas eleitorais, caso sejam confirmadas as graves irregularidades indicadas na presente impugnação.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Cambri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3</Pages>
  <Words>879</Words>
  <Characters>5063</Characters>
  <CharactersWithSpaces>5929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2023-06-11T09:17:49Z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