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C74" w:rsidRDefault="00E73C74" w:rsidP="00E73C74">
      <w:pPr>
        <w:pStyle w:val="Jurisprudncias"/>
      </w:pPr>
      <w:r w:rsidRPr="00B429C3">
        <w:t>Guia de atuação do Ministério Público na fiscalização do processo de escolha do Conselho Tutelar</w:t>
      </w:r>
    </w:p>
    <w:p w:rsidR="00E73C74" w:rsidRDefault="00E73C74" w:rsidP="00E73C74">
      <w:pPr>
        <w:pStyle w:val="Jurisprudncias"/>
      </w:pPr>
    </w:p>
    <w:p w:rsidR="00E73C74" w:rsidRPr="00B429C3" w:rsidRDefault="00E73C74" w:rsidP="00E73C74">
      <w:pPr>
        <w:pStyle w:val="Jurisprudncias"/>
      </w:pPr>
      <w:r w:rsidRPr="00B429C3">
        <w:t xml:space="preserve">Apêndice </w:t>
      </w:r>
      <w:r>
        <w:t>V</w:t>
      </w:r>
      <w:r w:rsidR="00797DAC">
        <w:t>I</w:t>
      </w:r>
      <w:r w:rsidRPr="00B429C3">
        <w:t xml:space="preserve"> – Minuta de </w:t>
      </w:r>
      <w:r>
        <w:t>Edital de convocação de mesários, presidentes de mesa e escrutinadores, e define data para reunião com referidos servidores, candidatos e fiscais</w:t>
      </w:r>
    </w:p>
    <w:p w:rsidR="00E73C74" w:rsidRPr="00B429C3" w:rsidRDefault="00E73C74" w:rsidP="00E73C74">
      <w:pPr>
        <w:pStyle w:val="Jurisprudncias"/>
      </w:pPr>
    </w:p>
    <w:p w:rsidR="00E73C74" w:rsidRDefault="00E73C74" w:rsidP="00E73C74">
      <w:pPr>
        <w:pStyle w:val="Jurisprudncias"/>
      </w:pPr>
      <w:r w:rsidRPr="00B429C3">
        <w:t>Texto atualizado em 16/2/202</w:t>
      </w:r>
      <w:r>
        <w:t>3</w:t>
      </w:r>
      <w:r w:rsidRPr="00B429C3">
        <w:t xml:space="preserve"> pelo Grupo de Trabalho instituído </w:t>
      </w:r>
      <w:r>
        <w:t xml:space="preserve">no âmbito da Comissão da Infância, Juventude e Educação do Conselho Nacional do Ministério Público </w:t>
      </w:r>
      <w:r w:rsidRPr="00B429C3">
        <w:t>pela Portaria CNMP-PRESI nº 239, de 25 de julho de 2022, com o objetivo de elaborar e executar estudos sobre a atuação do Ministério Público na fiscalização do processo de escolha dos membros do Conselho Tutelar e as possíveis alterações normativas voltadas à qualificação do atendimento prestado por tal órgão</w:t>
      </w:r>
      <w:r>
        <w:t>.</w:t>
      </w:r>
    </w:p>
    <w:p w:rsidR="00E73C74" w:rsidRDefault="00E73C74" w:rsidP="00E73C74">
      <w:pPr>
        <w:pStyle w:val="Jurisprudncias"/>
      </w:pPr>
    </w:p>
    <w:p w:rsidR="00E73C74" w:rsidRPr="00B429C3" w:rsidRDefault="00E73C74" w:rsidP="00E73C74">
      <w:pPr>
        <w:pStyle w:val="Jurisprudncias"/>
        <w:rPr>
          <w:b/>
          <w:bCs/>
        </w:rPr>
      </w:pPr>
      <w:r>
        <w:t xml:space="preserve">Mais informações sobre o Grupo de Trabalho estão disponíveis no endereço </w:t>
      </w:r>
      <w:hyperlink r:id="rId5" w:history="1">
        <w:r w:rsidRPr="00DD6B0D">
          <w:rPr>
            <w:rStyle w:val="Hyperlink"/>
          </w:rPr>
          <w:t>https://www.cnmp.mp.br/portal/institucional/comissoes/comissao-da-infancia-e-juventude/grupos-de-trabalho/conselho-tutelar</w:t>
        </w:r>
      </w:hyperlink>
      <w:r>
        <w:t>.</w:t>
      </w:r>
    </w:p>
    <w:p w:rsidR="00E73C74" w:rsidRDefault="00E73C74">
      <w:pPr>
        <w:pStyle w:val="Ttulo2"/>
        <w:numPr>
          <w:ilvl w:val="0"/>
          <w:numId w:val="0"/>
        </w:numPr>
        <w:ind w:left="576" w:hanging="576"/>
      </w:pPr>
    </w:p>
    <w:p w:rsidR="00E73C74" w:rsidRDefault="00E73C74">
      <w:pPr>
        <w:pStyle w:val="Ttulo2"/>
        <w:numPr>
          <w:ilvl w:val="0"/>
          <w:numId w:val="0"/>
        </w:numPr>
        <w:ind w:left="576" w:hanging="576"/>
      </w:pPr>
    </w:p>
    <w:p w:rsidR="00FF27A1" w:rsidRDefault="00D4319C" w:rsidP="00E73C74">
      <w:pPr>
        <w:pStyle w:val="Ttulo2"/>
        <w:numPr>
          <w:ilvl w:val="0"/>
          <w:numId w:val="0"/>
        </w:numPr>
      </w:pPr>
      <w:r>
        <w:t>Minuta de Edital de convocação de mesários, presidentes de mesa e escrutinadores, e define data para reunião com referidos servidores, candidatos e fiscais</w:t>
      </w:r>
    </w:p>
    <w:p w:rsidR="00FF27A1" w:rsidRDefault="00FF27A1">
      <w:pPr>
        <w:pStyle w:val="Jurisprudncias"/>
      </w:pPr>
    </w:p>
    <w:p w:rsidR="00FF27A1" w:rsidRDefault="00D4319C">
      <w:pPr>
        <w:pStyle w:val="Jurisprudncias"/>
        <w:rPr>
          <w:b/>
          <w:bCs/>
        </w:rPr>
      </w:pPr>
      <w:r>
        <w:rPr>
          <w:b/>
          <w:bCs/>
        </w:rPr>
        <w:t>Edital n. XXX/XXXX</w:t>
      </w:r>
    </w:p>
    <w:p w:rsidR="00FF27A1" w:rsidRDefault="00FF27A1">
      <w:pPr>
        <w:pStyle w:val="Jurisprudncias"/>
      </w:pPr>
    </w:p>
    <w:p w:rsidR="00FF27A1" w:rsidRDefault="00D4319C">
      <w:pPr>
        <w:pStyle w:val="Jurisprudncias"/>
      </w:pPr>
      <w:r>
        <w:t xml:space="preserve">A Comissão Especial para o processo de escolha dos membros do Conselho Tutelar, constituída pelo Conselho Municipal dos Direitos da Criança e do Adolescente do Município de (nome do Município), na forma da </w:t>
      </w:r>
      <w:r w:rsidRPr="00E73C74">
        <w:t>Resolução n. 231/2022 do Conanda</w:t>
      </w:r>
      <w:r>
        <w:rPr>
          <w:color w:val="FF0000"/>
        </w:rPr>
        <w:t xml:space="preserve"> </w:t>
      </w:r>
      <w:r>
        <w:t xml:space="preserve">e da </w:t>
      </w:r>
      <w:r>
        <w:rPr>
          <w:color w:val="FF0000"/>
        </w:rPr>
        <w:t>Resolução n.</w:t>
      </w:r>
      <w:r>
        <w:rPr>
          <w:color w:val="FF0000"/>
        </w:rPr>
        <w:t xml:space="preserve"> XX/XXXX do CMDCA de (nome do Município)</w:t>
      </w:r>
      <w:r>
        <w:t>:</w:t>
      </w:r>
    </w:p>
    <w:p w:rsidR="00FF27A1" w:rsidRDefault="00FF27A1">
      <w:pPr>
        <w:pStyle w:val="Jurisprudncias"/>
      </w:pPr>
    </w:p>
    <w:p w:rsidR="00FF27A1" w:rsidRDefault="00D4319C">
      <w:pPr>
        <w:pStyle w:val="Jurisprudncias"/>
      </w:pPr>
      <w:r>
        <w:t>I – Convoca os conselheiros de direitos relacionados abaixo para at</w:t>
      </w:r>
      <w:r w:rsidR="00F13136">
        <w:t>uarem como Presidentes de Mesa,</w:t>
      </w:r>
      <w:r>
        <w:t xml:space="preserve"> Mesários</w:t>
      </w:r>
      <w:r w:rsidR="00F13136">
        <w:t xml:space="preserve"> e Escrutinadores</w:t>
      </w:r>
      <w:r>
        <w:t xml:space="preserve"> na votação do processo de escolha para o Conselho Tutelar de (nome do Município), no dia (data da eleiçã</w:t>
      </w:r>
      <w:r>
        <w:t>o), das 8h às 17h.</w:t>
      </w:r>
    </w:p>
    <w:p w:rsidR="00FF27A1" w:rsidRDefault="00D4319C">
      <w:pPr>
        <w:pStyle w:val="Jurisprudncias"/>
      </w:pPr>
      <w:r>
        <w:t>II – Torna pública a convocação dos servidores públicos municipais abaixo relacionados, previamente requisitados ao Chefe do Poder Executivo local, para atuarem como Presidentes de Mesa, Mesários e Escrutinadores na eleição do Conselho T</w:t>
      </w:r>
      <w:r>
        <w:t xml:space="preserve">utelar do Município de </w:t>
      </w:r>
      <w:r w:rsidRPr="00F13136">
        <w:rPr>
          <w:color w:val="FF0000"/>
        </w:rPr>
        <w:t>(nome do Município)</w:t>
      </w:r>
      <w:r>
        <w:t xml:space="preserve">, no dia 1º de outubro de 2023, das 8h às 17h. O escrutínio dos votos iniciará imediatamente após o encerramento do horário de votação e o fechamento das urnas, e será realizado no </w:t>
      </w:r>
      <w:r w:rsidRPr="00F13136">
        <w:rPr>
          <w:color w:val="FF0000"/>
        </w:rPr>
        <w:t>(endereço).</w:t>
      </w:r>
    </w:p>
    <w:p w:rsidR="00FF27A1" w:rsidRDefault="00D4319C">
      <w:pPr>
        <w:pStyle w:val="Jurisprudncias"/>
      </w:pPr>
      <w:r>
        <w:t>III – No dia da votaç</w:t>
      </w:r>
      <w:r>
        <w:t xml:space="preserve">ão, os conselheiros e servidores </w:t>
      </w:r>
      <w:r w:rsidR="00F13136">
        <w:t xml:space="preserve">convocados </w:t>
      </w:r>
      <w:r>
        <w:t>deverão estar nos respectivos locais de votação com antecedência mínima de 1 (uma) hora.</w:t>
      </w:r>
    </w:p>
    <w:p w:rsidR="00FF27A1" w:rsidRDefault="00D4319C">
      <w:pPr>
        <w:pStyle w:val="Jurisprudncias"/>
      </w:pPr>
      <w:r>
        <w:t xml:space="preserve">IV – Ficam, desde já, convocados os conselheiros e servidores para participar de reunião que se realizará </w:t>
      </w:r>
      <w:r w:rsidRPr="00F13136">
        <w:rPr>
          <w:bCs/>
          <w:color w:val="FF0000"/>
        </w:rPr>
        <w:t xml:space="preserve">no dia (data), às </w:t>
      </w:r>
      <w:proofErr w:type="gramStart"/>
      <w:r w:rsidRPr="00F13136">
        <w:rPr>
          <w:bCs/>
          <w:color w:val="FF0000"/>
        </w:rPr>
        <w:t>XX:XX</w:t>
      </w:r>
      <w:proofErr w:type="gramEnd"/>
      <w:r w:rsidRPr="00F13136">
        <w:rPr>
          <w:bCs/>
          <w:color w:val="FF0000"/>
        </w:rPr>
        <w:t xml:space="preserve">, no </w:t>
      </w:r>
      <w:r w:rsidRPr="00F13136">
        <w:rPr>
          <w:bCs/>
          <w:color w:val="FF0000"/>
        </w:rPr>
        <w:t>(endereço)</w:t>
      </w:r>
      <w:r w:rsidRPr="00F13136">
        <w:rPr>
          <w:color w:val="FF0000"/>
        </w:rPr>
        <w:t>,</w:t>
      </w:r>
      <w:r w:rsidRPr="00F13136">
        <w:rPr>
          <w:color w:val="FF0000"/>
        </w:rPr>
        <w:t xml:space="preserve"> </w:t>
      </w:r>
      <w:r>
        <w:t xml:space="preserve">cujos objetivos são definir a seção em que cada um atuará e orientar quanto aos </w:t>
      </w:r>
      <w:r>
        <w:lastRenderedPageBreak/>
        <w:t>procedimentos a serem adotados durante a votação e a apuração. Os candidatos poderão participar da referida reunião ou, na sua impossibilidade, indicar um represent</w:t>
      </w:r>
      <w:r>
        <w:t>ante para acompanhar o encontro.</w:t>
      </w:r>
    </w:p>
    <w:p w:rsidR="00FF27A1" w:rsidRDefault="00D4319C">
      <w:pPr>
        <w:pStyle w:val="Jurisprudncias"/>
      </w:pPr>
      <w:r>
        <w:t xml:space="preserve">V – Ficam, desde já, convocados os candidatos e seus fiscais (no máximo de dois fiscais por candidato) para participar de reunião que se realizará no dia </w:t>
      </w:r>
      <w:r w:rsidR="00F13136" w:rsidRPr="00F13136">
        <w:rPr>
          <w:bCs/>
          <w:color w:val="FF0000"/>
        </w:rPr>
        <w:t>XX</w:t>
      </w:r>
      <w:r w:rsidRPr="00F13136">
        <w:rPr>
          <w:bCs/>
          <w:color w:val="FF0000"/>
        </w:rPr>
        <w:t xml:space="preserve"> de setembro de 2023 (</w:t>
      </w:r>
      <w:r w:rsidR="00F13136" w:rsidRPr="00F13136">
        <w:rPr>
          <w:bCs/>
          <w:color w:val="FF0000"/>
        </w:rPr>
        <w:t>semana anterior ao dia da</w:t>
      </w:r>
      <w:r w:rsidRPr="00F13136">
        <w:rPr>
          <w:bCs/>
          <w:color w:val="FF0000"/>
        </w:rPr>
        <w:t xml:space="preserve"> votação), às </w:t>
      </w:r>
      <w:proofErr w:type="gramStart"/>
      <w:r w:rsidRPr="00F13136">
        <w:rPr>
          <w:bCs/>
          <w:color w:val="FF0000"/>
        </w:rPr>
        <w:t>XX:XX</w:t>
      </w:r>
      <w:proofErr w:type="gramEnd"/>
      <w:r w:rsidRPr="00F13136">
        <w:rPr>
          <w:bCs/>
          <w:color w:val="FF0000"/>
        </w:rPr>
        <w:t>, no (endere</w:t>
      </w:r>
      <w:r w:rsidRPr="00F13136">
        <w:rPr>
          <w:bCs/>
          <w:color w:val="FF0000"/>
        </w:rPr>
        <w:t>ço)</w:t>
      </w:r>
      <w:r>
        <w:t>, cujos objetivos são organizar os trabalhos do dia da votação e orientar os candidatos e seus fiscais sobre as condutas vedadas que podem ser praticadas na referida data. S</w:t>
      </w:r>
      <w:r>
        <w:t>erá registrada ata da reunião, com a lista de presença dos candidatos e dos memb</w:t>
      </w:r>
      <w:r>
        <w:t xml:space="preserve">ros da Comissão Especial, no sentido de que as regras previstas </w:t>
      </w:r>
      <w:r w:rsidRPr="00F13136">
        <w:rPr>
          <w:color w:val="FF0000"/>
        </w:rPr>
        <w:t xml:space="preserve">no edital, na Resolução n. 231/2022 do Conanda e </w:t>
      </w:r>
      <w:r w:rsidRPr="00F13136">
        <w:rPr>
          <w:color w:val="FF0000"/>
        </w:rPr>
        <w:t>Lei Municipal n. XXXX/XXXX</w:t>
      </w:r>
      <w:r w:rsidRPr="00F13136">
        <w:rPr>
          <w:color w:val="FF0000"/>
        </w:rPr>
        <w:t xml:space="preserve"> </w:t>
      </w:r>
      <w:r>
        <w:t xml:space="preserve">serão devidamente respeitadas, sob pena de impugnação da candidatura, frisando-se que eventual ausência não isenta </w:t>
      </w:r>
      <w:proofErr w:type="gramStart"/>
      <w:r>
        <w:t>o</w:t>
      </w:r>
      <w:r>
        <w:t>(</w:t>
      </w:r>
      <w:proofErr w:type="gramEnd"/>
      <w:r>
        <w:t>a) candidato(a) do cumprimento das regras do processo de escolha.</w:t>
      </w:r>
      <w:bookmarkStart w:id="0" w:name="_GoBack"/>
      <w:bookmarkEnd w:id="0"/>
    </w:p>
    <w:p w:rsidR="00FF27A1" w:rsidRDefault="00FF27A1">
      <w:pPr>
        <w:pStyle w:val="Jurisprudncias"/>
      </w:pPr>
    </w:p>
    <w:p w:rsidR="00FF27A1" w:rsidRDefault="00F13136">
      <w:pPr>
        <w:pStyle w:val="Jurisprudncias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RELAÇÃO DOS PRESIDENTES DE MESA,</w:t>
      </w:r>
      <w:r w:rsidR="00D4319C">
        <w:rPr>
          <w:rFonts w:cs="Arial"/>
          <w:b/>
          <w:bCs/>
          <w:sz w:val="22"/>
        </w:rPr>
        <w:t xml:space="preserve"> MESÁRIOS</w:t>
      </w:r>
      <w:r>
        <w:rPr>
          <w:rFonts w:cs="Arial"/>
          <w:b/>
          <w:bCs/>
          <w:sz w:val="22"/>
        </w:rPr>
        <w:t xml:space="preserve"> E ESCRUTINADORES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4113"/>
        <w:gridCol w:w="1994"/>
        <w:gridCol w:w="2387"/>
      </w:tblGrid>
      <w:tr w:rsidR="00FF27A1">
        <w:tc>
          <w:tcPr>
            <w:tcW w:w="4113" w:type="dxa"/>
            <w:shd w:val="pct12" w:color="auto" w:fill="auto"/>
          </w:tcPr>
          <w:p w:rsidR="00FF27A1" w:rsidRDefault="00D4319C">
            <w:pPr>
              <w:spacing w:line="240" w:lineRule="auto"/>
              <w:ind w:firstLine="0"/>
              <w:rPr>
                <w:rFonts w:cs="Arial"/>
                <w:b/>
                <w:bCs/>
                <w:sz w:val="22"/>
              </w:rPr>
            </w:pPr>
            <w:r>
              <w:rPr>
                <w:rFonts w:eastAsia="SimSun" w:cs="Arial"/>
                <w:b/>
                <w:bCs/>
                <w:sz w:val="22"/>
              </w:rPr>
              <w:t>Nome</w:t>
            </w:r>
          </w:p>
        </w:tc>
        <w:tc>
          <w:tcPr>
            <w:tcW w:w="1994" w:type="dxa"/>
            <w:shd w:val="pct12" w:color="auto" w:fill="auto"/>
          </w:tcPr>
          <w:p w:rsidR="00FF27A1" w:rsidRDefault="00D4319C">
            <w:pPr>
              <w:spacing w:line="240" w:lineRule="auto"/>
              <w:ind w:firstLine="0"/>
              <w:rPr>
                <w:rFonts w:cs="Arial"/>
                <w:b/>
                <w:bCs/>
                <w:sz w:val="22"/>
              </w:rPr>
            </w:pPr>
            <w:r>
              <w:rPr>
                <w:rFonts w:eastAsia="SimSun" w:cs="Arial"/>
                <w:b/>
                <w:bCs/>
                <w:sz w:val="22"/>
              </w:rPr>
              <w:t>CPF</w:t>
            </w:r>
          </w:p>
        </w:tc>
        <w:tc>
          <w:tcPr>
            <w:tcW w:w="2387" w:type="dxa"/>
            <w:shd w:val="pct12" w:color="auto" w:fill="auto"/>
          </w:tcPr>
          <w:p w:rsidR="00FF27A1" w:rsidRDefault="00D4319C">
            <w:pPr>
              <w:spacing w:line="240" w:lineRule="auto"/>
              <w:ind w:firstLine="0"/>
              <w:rPr>
                <w:rFonts w:cs="Arial"/>
                <w:b/>
                <w:bCs/>
                <w:sz w:val="22"/>
              </w:rPr>
            </w:pPr>
            <w:r>
              <w:rPr>
                <w:rFonts w:eastAsia="SimSun" w:cs="Arial"/>
                <w:b/>
                <w:bCs/>
                <w:sz w:val="22"/>
              </w:rPr>
              <w:t>Função</w:t>
            </w:r>
          </w:p>
        </w:tc>
      </w:tr>
      <w:tr w:rsidR="00FF27A1">
        <w:tc>
          <w:tcPr>
            <w:tcW w:w="4113" w:type="dxa"/>
            <w:shd w:val="clear" w:color="auto" w:fill="auto"/>
          </w:tcPr>
          <w:p w:rsidR="00FF27A1" w:rsidRDefault="00FF27A1">
            <w:pPr>
              <w:spacing w:line="240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994" w:type="dxa"/>
          </w:tcPr>
          <w:p w:rsidR="00FF27A1" w:rsidRDefault="00FF27A1">
            <w:pPr>
              <w:spacing w:line="240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2387" w:type="dxa"/>
            <w:shd w:val="clear" w:color="auto" w:fill="auto"/>
          </w:tcPr>
          <w:p w:rsidR="00FF27A1" w:rsidRDefault="00D4319C">
            <w:pPr>
              <w:spacing w:line="240" w:lineRule="auto"/>
              <w:ind w:firstLine="0"/>
              <w:rPr>
                <w:rFonts w:cs="Arial"/>
                <w:sz w:val="22"/>
              </w:rPr>
            </w:pPr>
            <w:r>
              <w:rPr>
                <w:rFonts w:eastAsia="SimSun" w:cs="Arial"/>
                <w:sz w:val="22"/>
              </w:rPr>
              <w:t>Presidente</w:t>
            </w:r>
          </w:p>
        </w:tc>
      </w:tr>
      <w:tr w:rsidR="00FF27A1">
        <w:tc>
          <w:tcPr>
            <w:tcW w:w="4113" w:type="dxa"/>
            <w:shd w:val="clear" w:color="auto" w:fill="auto"/>
          </w:tcPr>
          <w:p w:rsidR="00FF27A1" w:rsidRDefault="00FF27A1">
            <w:pPr>
              <w:spacing w:line="240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994" w:type="dxa"/>
          </w:tcPr>
          <w:p w:rsidR="00FF27A1" w:rsidRDefault="00FF27A1">
            <w:pPr>
              <w:spacing w:line="240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2387" w:type="dxa"/>
            <w:shd w:val="clear" w:color="auto" w:fill="auto"/>
          </w:tcPr>
          <w:p w:rsidR="00FF27A1" w:rsidRDefault="00D4319C">
            <w:pPr>
              <w:spacing w:line="240" w:lineRule="auto"/>
              <w:ind w:firstLine="0"/>
              <w:rPr>
                <w:rFonts w:cs="Arial"/>
                <w:sz w:val="22"/>
              </w:rPr>
            </w:pPr>
            <w:r>
              <w:rPr>
                <w:rFonts w:eastAsia="SimSun" w:cs="Arial"/>
                <w:sz w:val="22"/>
              </w:rPr>
              <w:t>Mesário</w:t>
            </w:r>
          </w:p>
        </w:tc>
      </w:tr>
      <w:tr w:rsidR="00FF27A1">
        <w:tc>
          <w:tcPr>
            <w:tcW w:w="4113" w:type="dxa"/>
            <w:shd w:val="clear" w:color="auto" w:fill="auto"/>
          </w:tcPr>
          <w:p w:rsidR="00FF27A1" w:rsidRDefault="00FF27A1">
            <w:pPr>
              <w:spacing w:line="240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994" w:type="dxa"/>
          </w:tcPr>
          <w:p w:rsidR="00FF27A1" w:rsidRDefault="00FF27A1">
            <w:pPr>
              <w:spacing w:line="240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2387" w:type="dxa"/>
            <w:shd w:val="clear" w:color="auto" w:fill="auto"/>
          </w:tcPr>
          <w:p w:rsidR="00FF27A1" w:rsidRDefault="00D4319C">
            <w:pPr>
              <w:spacing w:line="240" w:lineRule="auto"/>
              <w:ind w:firstLine="0"/>
              <w:rPr>
                <w:rFonts w:cs="Arial"/>
                <w:sz w:val="22"/>
              </w:rPr>
            </w:pPr>
            <w:r>
              <w:rPr>
                <w:rFonts w:eastAsia="SimSun" w:cs="Arial"/>
                <w:sz w:val="22"/>
              </w:rPr>
              <w:t>Escrutinador</w:t>
            </w:r>
          </w:p>
        </w:tc>
      </w:tr>
      <w:tr w:rsidR="00FF27A1">
        <w:tc>
          <w:tcPr>
            <w:tcW w:w="4113" w:type="dxa"/>
            <w:shd w:val="clear" w:color="auto" w:fill="auto"/>
          </w:tcPr>
          <w:p w:rsidR="00FF27A1" w:rsidRDefault="00FF27A1">
            <w:pPr>
              <w:spacing w:line="240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1994" w:type="dxa"/>
          </w:tcPr>
          <w:p w:rsidR="00FF27A1" w:rsidRDefault="00FF27A1">
            <w:pPr>
              <w:spacing w:line="240" w:lineRule="auto"/>
              <w:ind w:firstLine="0"/>
              <w:rPr>
                <w:rFonts w:cs="Arial"/>
                <w:sz w:val="22"/>
              </w:rPr>
            </w:pPr>
          </w:p>
        </w:tc>
        <w:tc>
          <w:tcPr>
            <w:tcW w:w="2387" w:type="dxa"/>
            <w:shd w:val="clear" w:color="auto" w:fill="auto"/>
          </w:tcPr>
          <w:p w:rsidR="00FF27A1" w:rsidRDefault="00D4319C">
            <w:pPr>
              <w:spacing w:line="240" w:lineRule="auto"/>
              <w:ind w:firstLine="0"/>
              <w:rPr>
                <w:rFonts w:cs="Arial"/>
                <w:sz w:val="22"/>
              </w:rPr>
            </w:pPr>
            <w:r>
              <w:rPr>
                <w:rFonts w:eastAsia="SimSun" w:cs="Arial"/>
                <w:sz w:val="22"/>
              </w:rPr>
              <w:t>(...)</w:t>
            </w:r>
          </w:p>
        </w:tc>
      </w:tr>
    </w:tbl>
    <w:p w:rsidR="00FF27A1" w:rsidRDefault="00FF27A1">
      <w:pPr>
        <w:pStyle w:val="Jurisprudncias"/>
      </w:pPr>
    </w:p>
    <w:p w:rsidR="00FF27A1" w:rsidRDefault="00D4319C">
      <w:pPr>
        <w:pStyle w:val="Jurisprudncias"/>
        <w:jc w:val="right"/>
      </w:pPr>
      <w:r>
        <w:t>(Cidade), (dia) de (mês) de (ano).</w:t>
      </w:r>
    </w:p>
    <w:p w:rsidR="00FF27A1" w:rsidRDefault="00FF27A1">
      <w:pPr>
        <w:pStyle w:val="Jurisprudncias"/>
      </w:pPr>
    </w:p>
    <w:p w:rsidR="00FF27A1" w:rsidRDefault="00FF27A1">
      <w:pPr>
        <w:pStyle w:val="Jurisprudncias"/>
        <w:jc w:val="center"/>
      </w:pPr>
    </w:p>
    <w:p w:rsidR="00FF27A1" w:rsidRDefault="00D4319C">
      <w:pPr>
        <w:pStyle w:val="Jurisprudncias"/>
        <w:jc w:val="center"/>
      </w:pPr>
      <w:r>
        <w:t>(</w:t>
      </w:r>
      <w:proofErr w:type="gramStart"/>
      <w:r>
        <w:t>nome</w:t>
      </w:r>
      <w:proofErr w:type="gramEnd"/>
      <w:r>
        <w:t xml:space="preserve"> e assinatura)</w:t>
      </w:r>
    </w:p>
    <w:p w:rsidR="00FF27A1" w:rsidRDefault="00F13136">
      <w:pPr>
        <w:pStyle w:val="Jurisprudncias"/>
        <w:jc w:val="center"/>
      </w:pPr>
      <w:r>
        <w:t>Coordenador</w:t>
      </w:r>
      <w:r w:rsidR="00D4319C">
        <w:t xml:space="preserve"> da </w:t>
      </w:r>
      <w:r w:rsidR="00D4319C">
        <w:t>Comissão Especial</w:t>
      </w:r>
    </w:p>
    <w:p w:rsidR="00FF27A1" w:rsidRDefault="00D4319C">
      <w:pPr>
        <w:pStyle w:val="Jurisprudncias"/>
        <w:jc w:val="center"/>
      </w:pPr>
      <w:r>
        <w:t xml:space="preserve">CMDCA de </w:t>
      </w:r>
      <w:r w:rsidRPr="00F13136">
        <w:rPr>
          <w:color w:val="FF0000"/>
        </w:rPr>
        <w:t>(nome do Município)</w:t>
      </w:r>
    </w:p>
    <w:sectPr w:rsidR="00FF27A1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pranq eco sans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66EDE"/>
    <w:multiLevelType w:val="multilevel"/>
    <w:tmpl w:val="2D50B5FC"/>
    <w:lvl w:ilvl="0">
      <w:start w:val="1"/>
      <w:numFmt w:val="decimal"/>
      <w:pStyle w:val="Camov-ttulo2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6B918CF"/>
    <w:multiLevelType w:val="multilevel"/>
    <w:tmpl w:val="04207C04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A1"/>
    <w:rsid w:val="00797DAC"/>
    <w:rsid w:val="00D4319C"/>
    <w:rsid w:val="00E73C74"/>
    <w:rsid w:val="00F13136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2FF3C-78E6-46E1-8EB3-D7569878B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CAMOV-textoChar"/>
    <w:qFormat/>
    <w:rsid w:val="00F2494C"/>
    <w:pPr>
      <w:spacing w:line="360" w:lineRule="auto"/>
      <w:ind w:firstLine="851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2494C"/>
    <w:pPr>
      <w:keepNext/>
      <w:keepLines/>
      <w:numPr>
        <w:numId w:val="1"/>
      </w:numPr>
      <w:outlineLvl w:val="0"/>
    </w:pPr>
    <w:rPr>
      <w:rFonts w:eastAsiaTheme="majorEastAsia" w:cstheme="majorBidi"/>
      <w:b/>
      <w:sz w:val="26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2494C"/>
    <w:pPr>
      <w:keepNext/>
      <w:keepLines/>
      <w:numPr>
        <w:ilvl w:val="1"/>
        <w:numId w:val="1"/>
      </w:numPr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2494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i/>
      <w:color w:val="000000" w:themeColor="text1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2494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2494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2494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2494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2494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2494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tuloChar">
    <w:name w:val="Subtítulo Char"/>
    <w:basedOn w:val="Fontepargpadro"/>
    <w:link w:val="Subttulo"/>
    <w:uiPriority w:val="11"/>
    <w:qFormat/>
    <w:rsid w:val="007F2F4A"/>
    <w:rPr>
      <w:rFonts w:ascii="Arial" w:eastAsiaTheme="minorEastAsia" w:hAnsi="Arial"/>
      <w:color w:val="000000" w:themeColor="text1"/>
      <w:spacing w:val="15"/>
    </w:rPr>
  </w:style>
  <w:style w:type="character" w:customStyle="1" w:styleId="TtuloChar">
    <w:name w:val="Título Char"/>
    <w:basedOn w:val="Fontepargpadro"/>
    <w:link w:val="Ttulo"/>
    <w:uiPriority w:val="10"/>
    <w:qFormat/>
    <w:rsid w:val="007F2F4A"/>
    <w:rPr>
      <w:rFonts w:ascii="Arial" w:eastAsiaTheme="majorEastAsia" w:hAnsi="Arial" w:cstheme="majorBidi"/>
      <w:b/>
      <w:color w:val="000000" w:themeColor="text1"/>
      <w:spacing w:val="-10"/>
      <w:kern w:val="2"/>
      <w:sz w:val="24"/>
      <w:szCs w:val="56"/>
    </w:rPr>
  </w:style>
  <w:style w:type="character" w:customStyle="1" w:styleId="CAMOV-textoChar">
    <w:name w:val="CAMOV - texto Char"/>
    <w:basedOn w:val="Fontepargpadro"/>
    <w:qFormat/>
    <w:rsid w:val="009741D0"/>
    <w:rPr>
      <w:rFonts w:ascii="Arial" w:hAnsi="Arial"/>
      <w:color w:val="000000" w:themeColor="text1"/>
    </w:rPr>
  </w:style>
  <w:style w:type="character" w:customStyle="1" w:styleId="CAMOV-ttulo1Char">
    <w:name w:val="CAMOV - título 1 Char"/>
    <w:basedOn w:val="CAMOV-textoChar"/>
    <w:link w:val="CAMOV-ttulo1"/>
    <w:qFormat/>
    <w:rsid w:val="009741D0"/>
    <w:rPr>
      <w:rFonts w:ascii="Arial" w:hAnsi="Arial"/>
      <w:b/>
      <w:color w:val="000000" w:themeColor="text1"/>
      <w:sz w:val="24"/>
    </w:rPr>
  </w:style>
  <w:style w:type="character" w:customStyle="1" w:styleId="Camov-ttulo2Char">
    <w:name w:val="Camov - título 2 Char"/>
    <w:basedOn w:val="CAMOV-ttulo1Char"/>
    <w:link w:val="Camov-ttulo2"/>
    <w:qFormat/>
    <w:rsid w:val="009741D0"/>
    <w:rPr>
      <w:rFonts w:ascii="Arial" w:hAnsi="Arial"/>
      <w:b/>
      <w:color w:val="000000" w:themeColor="text1"/>
      <w:sz w:val="24"/>
    </w:rPr>
  </w:style>
  <w:style w:type="character" w:customStyle="1" w:styleId="Camov-SubttuloChar">
    <w:name w:val="Camov - Subtítulo Char"/>
    <w:basedOn w:val="CAMOV-ttulo1Char"/>
    <w:link w:val="Camov-Subttulo"/>
    <w:qFormat/>
    <w:rsid w:val="009741D0"/>
    <w:rPr>
      <w:rFonts w:ascii="Arial" w:hAnsi="Arial"/>
      <w:b w:val="0"/>
      <w:color w:val="000000" w:themeColor="text1"/>
      <w:sz w:val="24"/>
    </w:rPr>
  </w:style>
  <w:style w:type="character" w:customStyle="1" w:styleId="Ttulo1Char">
    <w:name w:val="Título 1 Char"/>
    <w:basedOn w:val="Fontepargpadro"/>
    <w:link w:val="Ttulo1"/>
    <w:uiPriority w:val="9"/>
    <w:qFormat/>
    <w:rsid w:val="00F2494C"/>
    <w:rPr>
      <w:rFonts w:ascii="Arial" w:eastAsiaTheme="majorEastAsia" w:hAnsi="Arial" w:cstheme="majorBidi"/>
      <w:b/>
      <w:sz w:val="26"/>
      <w:szCs w:val="32"/>
    </w:rPr>
  </w:style>
  <w:style w:type="character" w:customStyle="1" w:styleId="Ttulo2Char">
    <w:name w:val="Título 2 Char"/>
    <w:basedOn w:val="Fontepargpadro"/>
    <w:link w:val="Ttulo2"/>
    <w:uiPriority w:val="9"/>
    <w:qFormat/>
    <w:rsid w:val="00F2494C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qFormat/>
    <w:rsid w:val="00F2494C"/>
    <w:rPr>
      <w:rFonts w:ascii="Arial" w:eastAsiaTheme="majorEastAsia" w:hAnsi="Arial" w:cstheme="majorBidi"/>
      <w:i/>
      <w:color w:val="000000" w:themeColor="text1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F2494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F2494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F2494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F2494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F249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F2494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JurisprudnciasChar">
    <w:name w:val="Jurisprudências Char"/>
    <w:basedOn w:val="Fontepargpadro"/>
    <w:link w:val="Jurisprudncias"/>
    <w:qFormat/>
    <w:rsid w:val="00F2494C"/>
    <w:rPr>
      <w:rFonts w:ascii="Arial" w:hAnsi="Arial"/>
      <w:sz w:val="24"/>
    </w:rPr>
  </w:style>
  <w:style w:type="paragraph" w:styleId="Ttulo">
    <w:name w:val="Title"/>
    <w:basedOn w:val="Normal"/>
    <w:next w:val="Corpodetexto"/>
    <w:link w:val="TtuloChar"/>
    <w:uiPriority w:val="10"/>
    <w:qFormat/>
    <w:rsid w:val="007F2F4A"/>
    <w:pPr>
      <w:contextualSpacing/>
      <w:outlineLvl w:val="0"/>
    </w:pPr>
    <w:rPr>
      <w:rFonts w:eastAsiaTheme="majorEastAsia" w:cstheme="majorBidi"/>
      <w:b/>
      <w:spacing w:val="-10"/>
      <w:kern w:val="2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ascii="Spranq eco sans" w:hAnsi="Spranq eco sans"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ascii="Spranq eco sans" w:hAnsi="Spranq eco sans"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Spranq eco sans" w:hAnsi="Spranq eco sans"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2F4A"/>
    <w:pPr>
      <w:jc w:val="left"/>
      <w:outlineLvl w:val="1"/>
    </w:pPr>
    <w:rPr>
      <w:rFonts w:eastAsiaTheme="minorEastAsia"/>
      <w:spacing w:val="15"/>
    </w:rPr>
  </w:style>
  <w:style w:type="paragraph" w:customStyle="1" w:styleId="CAMOV-ttulo1">
    <w:name w:val="CAMOV - título 1"/>
    <w:basedOn w:val="Normal"/>
    <w:next w:val="Normal"/>
    <w:link w:val="CAMOV-ttulo1Char"/>
    <w:autoRedefine/>
    <w:qFormat/>
    <w:rsid w:val="009741D0"/>
    <w:pPr>
      <w:outlineLvl w:val="0"/>
    </w:pPr>
    <w:rPr>
      <w:b/>
    </w:rPr>
  </w:style>
  <w:style w:type="paragraph" w:customStyle="1" w:styleId="Camov-ttulo2">
    <w:name w:val="Camov - título 2"/>
    <w:basedOn w:val="CAMOV-ttulo1"/>
    <w:link w:val="Camov-ttulo2Char"/>
    <w:autoRedefine/>
    <w:qFormat/>
    <w:rsid w:val="009741D0"/>
    <w:pPr>
      <w:numPr>
        <w:numId w:val="2"/>
      </w:numPr>
      <w:ind w:left="0" w:firstLine="0"/>
      <w:outlineLvl w:val="1"/>
    </w:pPr>
  </w:style>
  <w:style w:type="paragraph" w:customStyle="1" w:styleId="Camov-Subttulo">
    <w:name w:val="Camov - Subtítulo"/>
    <w:basedOn w:val="CAMOV-ttulo1"/>
    <w:next w:val="Normal"/>
    <w:link w:val="Camov-SubttuloChar"/>
    <w:autoRedefine/>
    <w:qFormat/>
    <w:rsid w:val="009741D0"/>
    <w:pPr>
      <w:outlineLvl w:val="9"/>
    </w:pPr>
    <w:rPr>
      <w:b w:val="0"/>
    </w:rPr>
  </w:style>
  <w:style w:type="paragraph" w:customStyle="1" w:styleId="Jurisprudncias">
    <w:name w:val="Jurisprudências"/>
    <w:basedOn w:val="Normal"/>
    <w:link w:val="JurisprudnciasChar"/>
    <w:qFormat/>
    <w:rsid w:val="00F2494C"/>
    <w:pPr>
      <w:spacing w:line="240" w:lineRule="auto"/>
      <w:ind w:firstLine="0"/>
    </w:pPr>
  </w:style>
  <w:style w:type="table" w:styleId="Tabelacomgrade">
    <w:name w:val="Table Grid"/>
    <w:basedOn w:val="Tabelanormal"/>
    <w:uiPriority w:val="59"/>
    <w:rsid w:val="00F2494C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73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nmp.mp.br/portal/institucional/comissoes/comissao-da-infancia-e-juventude/grupos-de-trabalho/conselho-tutel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Publico de Santa Catarina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Cristina Delgado Guerreiro</dc:creator>
  <dc:description/>
  <cp:lastModifiedBy>João Luiz de Carvalho Botega</cp:lastModifiedBy>
  <cp:revision>7</cp:revision>
  <dcterms:created xsi:type="dcterms:W3CDTF">2023-01-12T20:19:00Z</dcterms:created>
  <dcterms:modified xsi:type="dcterms:W3CDTF">2023-02-17T17:57:00Z</dcterms:modified>
  <dc:language>pt-BR</dc:language>
</cp:coreProperties>
</file>