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Texto"/>
        <w:spacing w:before="240" w:after="0"/>
        <w:ind w:left="0" w:right="0" w:hanging="0"/>
        <w:rPr>
          <w:rFonts w:ascii="Cambria" w:hAnsi="Cambria" w:eastAsia="Verdana" w:cs="Cambria"/>
          <w:b/>
          <w:b/>
          <w:sz w:val="24"/>
          <w:szCs w:val="24"/>
        </w:rPr>
      </w:pPr>
      <w:r>
        <w:rPr>
          <w:rFonts w:eastAsia="Verdana" w:cs="Cambria" w:ascii="Cambria" w:hAnsi="Cambria"/>
          <w:b/>
          <w:sz w:val="24"/>
          <w:szCs w:val="24"/>
        </w:rPr>
        <w:t>Notícia de Fato nº __________</w:t>
      </w:r>
    </w:p>
    <w:p>
      <w:pPr>
        <w:pStyle w:val="Ttulo3"/>
        <w:keepNext w:val="false"/>
        <w:widowControl w:val="false"/>
        <w:rPr>
          <w:rFonts w:ascii="Cambria" w:hAnsi="Cambria" w:cs="Cambria"/>
          <w:b/>
          <w:b/>
          <w:bCs/>
          <w:color w:val="C9211E"/>
          <w:sz w:val="24"/>
          <w:szCs w:val="24"/>
          <w:lang w:eastAsia="pt-BR"/>
        </w:rPr>
      </w:pPr>
      <w:r>
        <w:rPr>
          <w:rFonts w:cs="Cambria" w:ascii="Cambria" w:hAnsi="Cambria"/>
          <w:b/>
          <w:bCs/>
          <w:color w:val="C9211E"/>
          <w:sz w:val="24"/>
          <w:szCs w:val="24"/>
          <w:lang w:eastAsia="pt-BR"/>
        </w:rPr>
        <w:t>MPES Adaptada</w:t>
      </w:r>
    </w:p>
    <w:p>
      <w:pPr>
        <w:pStyle w:val="Ttulo3"/>
        <w:keepNext w:val="false"/>
        <w:widowControl w:val="false"/>
        <w:rPr>
          <w:rFonts w:ascii="Cambria" w:hAnsi="Cambria" w:cs="Cambria"/>
          <w:b/>
          <w:b/>
          <w:bCs/>
          <w:sz w:val="24"/>
          <w:szCs w:val="24"/>
          <w:lang w:eastAsia="pt-BR"/>
        </w:rPr>
      </w:pPr>
      <w:r>
        <w:rPr>
          <w:rFonts w:cs="Cambria" w:ascii="Cambria" w:hAnsi="Cambria"/>
          <w:b/>
          <w:bCs/>
          <w:sz w:val="24"/>
          <w:szCs w:val="24"/>
          <w:lang w:eastAsia="pt-BR"/>
        </w:rPr>
      </w:r>
    </w:p>
    <w:p>
      <w:pPr>
        <w:pStyle w:val="Normal"/>
        <w:widowControl w:val="false"/>
        <w:suppressAutoHyphens w:val="false"/>
        <w:spacing w:lineRule="auto" w:line="360"/>
        <w:ind w:left="0" w:right="0" w:firstLine="2268"/>
        <w:jc w:val="both"/>
        <w:rPr>
          <w:rFonts w:ascii="Cambria" w:hAnsi="Cambria" w:cs="Cambria"/>
          <w:b/>
          <w:b/>
          <w:bCs/>
          <w:sz w:val="24"/>
          <w:szCs w:val="24"/>
          <w:lang w:eastAsia="pt-BR"/>
        </w:rPr>
      </w:pPr>
      <w:r>
        <w:rPr>
          <w:rFonts w:cs="Cambria" w:ascii="Cambria" w:hAnsi="Cambria"/>
          <w:b/>
          <w:bCs/>
          <w:sz w:val="24"/>
          <w:szCs w:val="24"/>
          <w:lang w:eastAsia="pt-BR"/>
        </w:rPr>
      </w:r>
    </w:p>
    <w:p>
      <w:pPr>
        <w:pStyle w:val="Normal"/>
        <w:widowControl w:val="false"/>
        <w:suppressAutoHyphens w:val="false"/>
        <w:spacing w:lineRule="auto" w:line="360"/>
        <w:ind w:left="0" w:right="0" w:firstLine="2268"/>
        <w:jc w:val="both"/>
        <w:rPr>
          <w:rFonts w:ascii="Cambria" w:hAnsi="Cambria" w:cs="Cambria"/>
          <w:b/>
          <w:b/>
          <w:bCs/>
          <w:sz w:val="24"/>
          <w:szCs w:val="24"/>
          <w:lang w:eastAsia="pt-BR"/>
        </w:rPr>
      </w:pPr>
      <w:r>
        <w:rPr>
          <w:rFonts w:cs="Cambria" w:ascii="Cambria" w:hAnsi="Cambria"/>
          <w:b/>
          <w:bCs/>
          <w:sz w:val="24"/>
          <w:szCs w:val="24"/>
          <w:lang w:eastAsia="pt-BR"/>
        </w:rPr>
      </w:r>
    </w:p>
    <w:p>
      <w:pPr>
        <w:pStyle w:val="Normal"/>
        <w:widowControl w:val="false"/>
        <w:suppressAutoHyphens w:val="false"/>
        <w:spacing w:lineRule="auto" w:line="360"/>
        <w:ind w:left="0" w:right="0" w:firstLine="2268"/>
        <w:jc w:val="both"/>
        <w:rPr>
          <w:rFonts w:ascii="Cambria" w:hAnsi="Cambria" w:cs="Cambria"/>
          <w:b/>
          <w:b/>
          <w:bCs/>
          <w:sz w:val="24"/>
          <w:szCs w:val="24"/>
          <w:lang w:eastAsia="pt-BR"/>
        </w:rPr>
      </w:pPr>
      <w:r>
        <w:rPr>
          <w:rFonts w:cs="Cambria" w:ascii="Cambria" w:hAnsi="Cambria"/>
          <w:b/>
          <w:bCs/>
          <w:sz w:val="24"/>
          <w:szCs w:val="24"/>
          <w:lang w:eastAsia="pt-BR"/>
        </w:rPr>
      </w:r>
    </w:p>
    <w:p>
      <w:pPr>
        <w:pStyle w:val="Normal"/>
        <w:widowControl/>
        <w:suppressAutoHyphens w:val="false"/>
        <w:bidi w:val="0"/>
        <w:spacing w:lineRule="auto" w:line="360"/>
        <w:ind w:left="0" w:right="0" w:hanging="0"/>
        <w:jc w:val="center"/>
        <w:rPr>
          <w:rFonts w:ascii="Cambria" w:hAnsi="Cambria" w:cs="Cambria"/>
          <w:b/>
          <w:b/>
          <w:sz w:val="24"/>
          <w:szCs w:val="24"/>
          <w:lang w:eastAsia="pt-BR"/>
        </w:rPr>
      </w:pPr>
      <w:r>
        <w:rPr>
          <w:rFonts w:cs="Cambria" w:ascii="Cambria" w:hAnsi="Cambria"/>
          <w:b/>
          <w:sz w:val="24"/>
          <w:szCs w:val="24"/>
          <w:lang w:eastAsia="pt-BR"/>
        </w:rPr>
        <w:t>DESPACHO</w:t>
      </w:r>
    </w:p>
    <w:p>
      <w:pPr>
        <w:pStyle w:val="Normal"/>
        <w:suppressAutoHyphens w:val="false"/>
        <w:spacing w:lineRule="auto" w:line="360"/>
        <w:jc w:val="both"/>
        <w:rPr>
          <w:rFonts w:ascii="Cambria" w:hAnsi="Cambria" w:cs="Cambria"/>
          <w:b/>
          <w:b/>
          <w:sz w:val="24"/>
          <w:szCs w:val="24"/>
          <w:lang w:eastAsia="pt-BR"/>
        </w:rPr>
      </w:pPr>
      <w:r>
        <w:rPr>
          <w:rFonts w:cs="Cambria" w:ascii="Cambria" w:hAnsi="Cambria"/>
          <w:b/>
          <w:sz w:val="24"/>
          <w:szCs w:val="24"/>
          <w:lang w:eastAsia="pt-BR"/>
        </w:rPr>
      </w:r>
    </w:p>
    <w:p>
      <w:pPr>
        <w:pStyle w:val="Normal"/>
        <w:suppressAutoHyphens w:val="false"/>
        <w:spacing w:lineRule="auto" w:line="360"/>
        <w:ind w:left="0" w:right="0" w:firstLine="1701"/>
        <w:jc w:val="both"/>
        <w:rPr>
          <w:rFonts w:ascii="Cambria" w:hAnsi="Cambria" w:cs="Cambria"/>
          <w:b/>
          <w:b/>
          <w:sz w:val="24"/>
          <w:szCs w:val="24"/>
          <w:lang w:eastAsia="pt-BR"/>
        </w:rPr>
      </w:pPr>
      <w:r>
        <w:rPr>
          <w:rFonts w:cs="Cambria" w:ascii="Cambria" w:hAnsi="Cambria"/>
          <w:b/>
          <w:sz w:val="24"/>
          <w:szCs w:val="24"/>
          <w:lang w:eastAsia="pt-BR"/>
        </w:rPr>
      </w:r>
    </w:p>
    <w:p>
      <w:pPr>
        <w:pStyle w:val="Normal"/>
        <w:suppressAutoHyphens w:val="false"/>
        <w:spacing w:lineRule="auto" w:line="360"/>
        <w:ind w:left="0" w:right="0" w:firstLine="1701"/>
        <w:jc w:val="both"/>
        <w:rPr>
          <w:rFonts w:ascii="Cambria" w:hAnsi="Cambria" w:cs="Cambria"/>
          <w:b/>
          <w:b/>
          <w:sz w:val="24"/>
          <w:szCs w:val="24"/>
          <w:lang w:eastAsia="pt-BR"/>
        </w:rPr>
      </w:pPr>
      <w:r>
        <w:rPr>
          <w:rFonts w:cs="Cambria" w:ascii="Cambria" w:hAnsi="Cambria"/>
          <w:b/>
          <w:sz w:val="24"/>
          <w:szCs w:val="24"/>
          <w:lang w:eastAsia="pt-BR"/>
        </w:rPr>
      </w:r>
    </w:p>
    <w:p>
      <w:pPr>
        <w:pStyle w:val="Normal"/>
        <w:suppressAutoHyphens w:val="false"/>
        <w:spacing w:lineRule="auto" w:line="360"/>
        <w:ind w:left="0" w:right="0" w:firstLine="1701"/>
        <w:jc w:val="both"/>
        <w:rPr>
          <w:rFonts w:ascii="Cambria" w:hAnsi="Cambria" w:cs="Cambria"/>
          <w:sz w:val="24"/>
          <w:szCs w:val="24"/>
          <w:lang w:eastAsia="pt-BR"/>
        </w:rPr>
      </w:pPr>
      <w:r>
        <w:rPr>
          <w:rFonts w:cs="Cambria" w:ascii="Cambria" w:hAnsi="Cambria"/>
          <w:sz w:val="24"/>
          <w:szCs w:val="24"/>
          <w:lang w:eastAsia="pt-BR"/>
        </w:rPr>
        <w:t>Trata-se de Notícia de Fato instaurada com a finalidade de apurar suposta prática do delito tipificado no artigo 40 da Lei 9.504/97 – Lei das Eleições – pelo pré-candidato ______ a Vereador no município de ________/TO, Sr. ____________, haja vista que está plagiando a logomarca do Tribunal Superior Eleitoral – TSE – para as eleições.</w:t>
      </w:r>
    </w:p>
    <w:p>
      <w:pPr>
        <w:pStyle w:val="Normal"/>
        <w:suppressAutoHyphens w:val="false"/>
        <w:spacing w:lineRule="auto" w:line="360"/>
        <w:ind w:left="0" w:right="0" w:firstLine="1701"/>
        <w:jc w:val="both"/>
        <w:rPr/>
      </w:pPr>
      <w:r>
        <w:rPr>
          <w:rFonts w:cs="Cambria" w:ascii="Cambria" w:hAnsi="Cambria"/>
          <w:sz w:val="24"/>
          <w:szCs w:val="24"/>
          <w:lang w:eastAsia="pt-BR"/>
        </w:rPr>
        <w:t>Conforme informações contidas nos autos, que seguem em anexo, o Sr. __________, pré-candidato ao cargo de Vereador no município de _______/TO pelo Partido ___________, teria praticado o delito tipificado no artigo 40 da Lei 9.504/97</w:t>
      </w:r>
      <w:r>
        <w:rPr>
          <w:rStyle w:val="Ncoradanotaderodap"/>
          <w:rStyle w:val="Ncoradanotaderodap"/>
          <w:rFonts w:cs="Cambria" w:ascii="Cambria" w:hAnsi="Cambria"/>
          <w:sz w:val="24"/>
          <w:szCs w:val="24"/>
          <w:lang w:eastAsia="pt-BR"/>
        </w:rPr>
        <w:footnoteReference w:id="2"/>
      </w:r>
      <w:r>
        <w:rPr>
          <w:rFonts w:cs="Cambria" w:ascii="Cambria" w:hAnsi="Cambria"/>
          <w:sz w:val="24"/>
          <w:szCs w:val="24"/>
          <w:lang w:eastAsia="pt-BR"/>
        </w:rPr>
        <w:t>.</w:t>
      </w:r>
    </w:p>
    <w:p>
      <w:pPr>
        <w:pStyle w:val="Normal"/>
        <w:suppressAutoHyphens w:val="false"/>
        <w:spacing w:lineRule="auto" w:line="360"/>
        <w:ind w:left="0" w:right="0" w:firstLine="1701"/>
        <w:jc w:val="both"/>
        <w:rPr>
          <w:rFonts w:ascii="Cambria" w:hAnsi="Cambria" w:cs="Cambria"/>
          <w:sz w:val="24"/>
          <w:szCs w:val="24"/>
          <w:lang w:eastAsia="pt-BR"/>
        </w:rPr>
      </w:pPr>
      <w:r>
        <w:rPr>
          <w:rFonts w:cs="Cambria" w:ascii="Cambria" w:hAnsi="Cambria"/>
          <w:sz w:val="24"/>
          <w:szCs w:val="24"/>
          <w:lang w:eastAsia="pt-BR"/>
        </w:rPr>
        <w:t>Nesta senda, considerando que o crime possivelmente praticado pelo Sr. ______ é de menor potencial ofensivo, uma vez que sua pena máxima em abstrato não ultrapassa dois anos de privação de liberdade;</w:t>
      </w:r>
    </w:p>
    <w:p>
      <w:pPr>
        <w:pStyle w:val="Normal"/>
        <w:suppressAutoHyphens w:val="false"/>
        <w:spacing w:lineRule="auto" w:line="360"/>
        <w:ind w:left="0" w:right="0" w:firstLine="1701"/>
        <w:jc w:val="both"/>
        <w:rPr/>
      </w:pPr>
      <w:r>
        <w:rPr>
          <w:rFonts w:cs="Cambria" w:ascii="Cambria" w:hAnsi="Cambria"/>
          <w:sz w:val="24"/>
          <w:szCs w:val="24"/>
          <w:lang w:eastAsia="pt-BR"/>
        </w:rPr>
        <w:t>Considerando que “haverá a instauração de Termo Circunstanciado de Ocorrência – TCO, e não de inquérito policial, quando o delito investigado for de menor potencial ofensivo”</w:t>
      </w:r>
      <w:r>
        <w:rPr>
          <w:rStyle w:val="Ncoradanotaderodap"/>
          <w:rStyle w:val="Ncoradanotaderodap"/>
          <w:rFonts w:cs="Cambria" w:ascii="Cambria" w:hAnsi="Cambria"/>
          <w:sz w:val="24"/>
          <w:szCs w:val="24"/>
          <w:lang w:eastAsia="pt-BR"/>
        </w:rPr>
        <w:footnoteReference w:id="3"/>
      </w:r>
      <w:r>
        <w:rPr>
          <w:rFonts w:cs="Cambria" w:ascii="Cambria" w:hAnsi="Cambria"/>
          <w:sz w:val="24"/>
          <w:szCs w:val="24"/>
          <w:lang w:eastAsia="pt-BR"/>
        </w:rPr>
        <w:t>; e</w:t>
      </w:r>
    </w:p>
    <w:p>
      <w:pPr>
        <w:pStyle w:val="Normal"/>
        <w:suppressAutoHyphens w:val="false"/>
        <w:spacing w:lineRule="auto" w:line="360"/>
        <w:ind w:left="0" w:right="0" w:firstLine="1701"/>
        <w:jc w:val="both"/>
        <w:rPr>
          <w:rFonts w:ascii="Cambria" w:hAnsi="Cambria" w:cs="Arial"/>
          <w:b/>
          <w:b/>
          <w:bCs/>
          <w:color w:val="000000"/>
          <w:sz w:val="24"/>
          <w:szCs w:val="24"/>
        </w:rPr>
      </w:pPr>
      <w:r>
        <w:rPr>
          <w:rFonts w:cs="Cambria" w:ascii="Cambria" w:hAnsi="Cambria"/>
          <w:b/>
          <w:bCs/>
          <w:color w:val="000000"/>
          <w:sz w:val="24"/>
          <w:szCs w:val="24"/>
          <w:lang w:eastAsia="pt-BR"/>
        </w:rPr>
        <w:t xml:space="preserve">Considerando que quando a infração supostamente cometida for de menor potencial ofensivo a autoridade policial deverá elaborar Termo Circunstanciado de Ocorrência e promover o encaminhamento ao Juiz Eleitoral, DETERMINO </w:t>
      </w:r>
      <w:r>
        <w:rPr>
          <w:rFonts w:cs="Cambria" w:ascii="Cambria" w:hAnsi="Cambria"/>
          <w:b w:val="false"/>
          <w:bCs w:val="false"/>
          <w:color w:val="000000"/>
          <w:sz w:val="24"/>
          <w:szCs w:val="24"/>
          <w:lang w:eastAsia="pt-BR"/>
        </w:rPr>
        <w:t>a remessa da presente Notícia de Fato à Superintendência da Polícia Federal do Estado do Tocantins</w:t>
      </w:r>
      <w:r>
        <w:rPr>
          <w:rFonts w:cs="Cambria" w:ascii="Cambria" w:hAnsi="Cambria"/>
          <w:b w:val="false"/>
          <w:bCs w:val="false"/>
          <w:color w:val="C9211E"/>
          <w:sz w:val="24"/>
          <w:szCs w:val="24"/>
          <w:lang w:eastAsia="pt-BR"/>
        </w:rPr>
        <w:t xml:space="preserve"> ou à unidade da Polícia Federal da Polícia Federal de ____/TO ou à Polícia Civil de ___/TO (caso não haja sede da Polícia Federal na cidade)</w:t>
      </w:r>
      <w:r>
        <w:rPr>
          <w:rFonts w:cs="Cambria" w:ascii="Cambria" w:hAnsi="Cambria"/>
          <w:b w:val="false"/>
          <w:bCs w:val="false"/>
          <w:color w:val="000000"/>
          <w:sz w:val="24"/>
          <w:szCs w:val="24"/>
          <w:lang w:eastAsia="pt-BR"/>
        </w:rPr>
        <w:t>, para a instauração de Termo Circunstanciado de Ocorrência – TCO, com a posterior remessa dos autos ao Juiz Eleitoral,</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footnotePr>
        <w:numFmt w:val="decimal"/>
      </w:footnotePr>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variable"/>
  </w:font>
  <w:font w:name="Cambria">
    <w:charset w:val="01"/>
    <w:family w:val="roman"/>
    <w:pitch w:val="default"/>
  </w:font>
  <w:font w:name="Arial">
    <w:charset w:val="00"/>
    <w:family w:val="swiss"/>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derodap"/>
        <w:ind w:left="0" w:right="0" w:hanging="0"/>
        <w:rPr/>
      </w:pPr>
      <w:r>
        <w:rPr>
          <w:rStyle w:val="Caracteresdenotaderodap"/>
        </w:rPr>
        <w:footnoteRef/>
      </w:r>
      <w:r>
        <w:rPr/>
        <w:t xml:space="preserve"> </w:t>
      </w:r>
      <w:r>
        <w:rPr>
          <w:rFonts w:cs="Arial" w:ascii="Arial" w:hAnsi="Arial"/>
          <w:b w:val="false"/>
          <w:i w:val="false"/>
          <w:caps w:val="false"/>
          <w:smallCaps w:val="false"/>
          <w:color w:val="000000"/>
          <w:spacing w:val="0"/>
          <w:sz w:val="20"/>
        </w:rPr>
        <w:t>Art. 40. O uso, na propaganda eleitoral, de símbolos, frases ou imagens, associadas ou semelhantes às empregadas por órgão de governo, empresa pública ou sociedade de economia mista constitui crime, punível com detenção, de seis meses a um ano, com a alternativa de prestação de serviços à comunidade pelo mesmo período, e multa no valor de dez mil a vinte mil UFIR.</w:t>
      </w:r>
      <w:r>
        <w:rPr/>
        <w:t xml:space="preserve"> </w:t>
      </w:r>
    </w:p>
  </w:footnote>
  <w:footnote w:id="3">
    <w:p>
      <w:pPr>
        <w:pStyle w:val="Notaderodap"/>
        <w:ind w:left="0" w:right="0" w:hanging="0"/>
        <w:rPr/>
      </w:pPr>
      <w:r>
        <w:rPr>
          <w:rStyle w:val="Caracteresdenotaderodap"/>
        </w:rPr>
        <w:footnoteRef/>
      </w:r>
      <w:r>
        <w:rPr/>
        <w:t xml:space="preserve"> </w:t>
      </w:r>
      <w:r>
        <w:rPr/>
        <w:t xml:space="preserve">ALMEIDA, Roberto Moreira de. </w:t>
      </w:r>
      <w:r>
        <w:rPr>
          <w:b/>
          <w:bCs/>
        </w:rPr>
        <w:t>Curso de direito eleitoral</w:t>
      </w:r>
      <w:r>
        <w:rPr>
          <w:b w:val="false"/>
          <w:bCs w:val="false"/>
        </w:rPr>
        <w:t>. 14. ed. Salvador: Juspodivm, 2020. p. 644.</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paragraph" w:styleId="Ttulo3">
    <w:name w:val="Heading 3"/>
    <w:basedOn w:val="Normal"/>
    <w:next w:val="Normal"/>
    <w:qFormat/>
    <w:pPr>
      <w:keepNext w:val="true"/>
      <w:numPr>
        <w:ilvl w:val="2"/>
        <w:numId w:val="1"/>
      </w:numPr>
      <w:spacing w:before="240" w:after="60"/>
      <w:outlineLvl w:val="2"/>
    </w:pPr>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CorpodeTexto">
    <w:name w:val="Corpo de Texto"/>
    <w:basedOn w:val="Normal"/>
    <w:qFormat/>
    <w:pPr>
      <w:widowControl w:val="false"/>
      <w:spacing w:lineRule="auto" w:line="360" w:before="0" w:after="120"/>
      <w:ind w:left="0" w:right="0" w:firstLine="2268"/>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2</Pages>
  <Words>326</Words>
  <Characters>1782</Characters>
  <CharactersWithSpaces>2104</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2023-06-09T20:06:13Z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