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EXCELENTÍSSIMO SENHOR </w:t>
      </w:r>
      <w:r w:rsidDel="00000000" w:rsidR="00000000" w:rsidRPr="00000000">
        <w:rPr>
          <w:rFonts w:ascii="Verdana" w:cs="Verdana" w:eastAsia="Verdana" w:hAnsi="Verdana"/>
          <w:b w:val="1"/>
          <w:i w:val="0"/>
          <w:smallCaps w:val="0"/>
          <w:strike w:val="0"/>
          <w:color w:val="000000"/>
          <w:sz w:val="22"/>
          <w:szCs w:val="22"/>
          <w:highlight w:val="white"/>
          <w:u w:val="none"/>
          <w:vertAlign w:val="baseline"/>
          <w:rtl w:val="0"/>
        </w:rPr>
        <w:t xml:space="preserve">JUIZ ELEITORAL DA ___ ZONA ELEITORAL/__</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REPRESENTAÇÃO - SUSPENSÃO DA ANOTAÇÃO DE ÓRGÃO PARTIDÁRIO MUNICIPAL – CONTAS NÃO PRESTADAS</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2835"/>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2835"/>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2835"/>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2835"/>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2835"/>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2835"/>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 MINISTÉRIO PÚBLICO ELEITORAL, por seu Membro que ao final subscreve, no uso de suas atribuições legais e constitucionais, vem à ilustre presença de Vossa Excelência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propor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com fundamento no art. 127 da Constituição Federal e nos arts. 72 e 78 da LC nº 75/1993, bem como no art. 28, § 1º, da Lei nº 9.096/1995, no art. 47 da Resolução TSE nº 23.604/2019, no art. 80 da Resolução TSE nº 23.607/2019 e no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art. 54-A e seguintes da Resolução TSE nº 23.571/2018</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 presente REPRESENTAÇÃO PELA SUSPENSÃO DA ANOTAÇÃO DE ÓRGÃO PARTIDÁRIO em face do Partido </w:t>
      </w:r>
      <w:r w:rsidDel="00000000" w:rsidR="00000000" w:rsidRPr="00000000">
        <w:rPr>
          <w:rFonts w:ascii="Verdana" w:cs="Verdana" w:eastAsia="Verdana" w:hAnsi="Verdana"/>
          <w:b w:val="0"/>
          <w:i w:val="0"/>
          <w:smallCaps w:val="0"/>
          <w:strike w:val="0"/>
          <w:color w:val="000000"/>
          <w:sz w:val="22"/>
          <w:szCs w:val="22"/>
          <w:highlight w:val="yellow"/>
          <w:u w:val="none"/>
          <w:vertAlign w:val="baseline"/>
          <w:rtl w:val="0"/>
        </w:rPr>
        <w:t xml:space="preserve">XXXX</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do município de </w:t>
      </w:r>
      <w:r w:rsidDel="00000000" w:rsidR="00000000" w:rsidRPr="00000000">
        <w:rPr>
          <w:rFonts w:ascii="Verdana" w:cs="Verdana" w:eastAsia="Verdana" w:hAnsi="Verdana"/>
          <w:b w:val="0"/>
          <w:i w:val="0"/>
          <w:smallCaps w:val="0"/>
          <w:strike w:val="0"/>
          <w:color w:val="000000"/>
          <w:sz w:val="22"/>
          <w:szCs w:val="22"/>
          <w:highlight w:val="yellow"/>
          <w:u w:val="none"/>
          <w:vertAlign w:val="baseline"/>
          <w:rtl w:val="0"/>
        </w:rPr>
        <w:t xml:space="preserve">XXXXX/XX</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pessoa jurídica de direito privado, CNPJ nº ______________ </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(se houver)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representado pelo seu Presidente e Tesoureiro, com sede na ___________________________ (</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endereço na PC</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em razão dos fatos e fundamentos a seguir expostos.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2835"/>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1. DO CABIMENTO</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ab/>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Ab initio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importante esclarecer a necessidade do oferecimento da presente Representação pela suspensão da anotação da agremiação partidária supracitada.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ab/>
        <w:t xml:space="preserve">Como se verá adiante, além da perda do direito ao recebimento da quota do Fundo Partidário e do Fundo Especial de Financiamento de Campanha, a legislação eleitoral prevê como sanção ao Partido Político que deixar de apresentar prestação de contas a suspensão de sua anotação.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ab/>
        <w:t xml:space="preserve">Essa penalidade, até pouco tempo, era reconhecida como efeito imediato da sentença que julgava as contas como não prestadas, haja vista a ausência de previsão legal acerca do tema.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ab/>
        <w:t xml:space="preserve">Todavia, o Supremo Tribunal Federal deu interpretação diversa aos dispositivos que cominam tal sanção, no sentido de que, para que haja suspensão da anotação dos órgãos partidários estaduais, regionais, municipais ou zonais é imprescindível a instauração de procedimento autônomo, a fim de que seja resguardado o direito ao contraditório e à ampla defesa, não podendo a supracitada penalidade decorrer imediatamente da sentença exarada nos autos de prestação de contas, nos termos do julgamento no STF na ADI nº 6.032, julgada em 5.12.2019.</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ab/>
        <w:t xml:space="preserve">No referido julgamento, o STF, “por maioria, julgou parcialmente procedente o pedido para conferir interpretação conforme à Constituição às normas do art. 47, caput e § 2º, da Res./TSE 23.432/2014; do art. 48, caput e § 2º, da Res./TSE 23.546/2017; e do art. 42, caput, da Res./TSE 23.571/2018, afastando qualquer interpretação que permita que a sanção de suspensão do registro ou anotação do órgão partidário regional ou municipal seja aplicada de forma automática, como consequência da decisão que julga as contas não prestadas, assegurando que tal penalidade somente pode ser aplicada após decisão, com trânsito em julgado, decorrente de procedimento específico de suspensão de registro, conforme o art. 28 da Lei 9.096/1995, nos termos do voto do Relator”.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ab/>
        <w:t xml:space="preserve">Assim, em atendimento à decisão da Suprema Corte e visando evitar futura alegação de nulidade por inobservância de princípios fundamentais, o Ministério Público Eleitoral oferece a presente Representação, requerendo, desde já, seja-lhe aplicada a penalidade de suspensão da anotação do órgão partidário representado, até a regularização da situação perante a Justiça Eleitoral.</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2. DOS FATOS</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Consoante se extrai dos autos da Prestação de Contas de nº _______________ (cópia integral anexa), o Partido </w:t>
      </w:r>
      <w:r w:rsidDel="00000000" w:rsidR="00000000" w:rsidRPr="00000000">
        <w:rPr>
          <w:rFonts w:ascii="Verdana" w:cs="Verdana" w:eastAsia="Verdana" w:hAnsi="Verdana"/>
          <w:b w:val="0"/>
          <w:i w:val="0"/>
          <w:smallCaps w:val="0"/>
          <w:strike w:val="0"/>
          <w:color w:val="000000"/>
          <w:sz w:val="22"/>
          <w:szCs w:val="22"/>
          <w:highlight w:val="yellow"/>
          <w:u w:val="none"/>
          <w:vertAlign w:val="baseline"/>
          <w:rtl w:val="0"/>
        </w:rPr>
        <w:t xml:space="preserve">XXX</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mesmo intimado, não prestou contas à Justiça Eleitoral, relativas ao exercício financeiro </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(ou à campanha eleitoral)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do ano de </w:t>
      </w:r>
      <w:r w:rsidDel="00000000" w:rsidR="00000000" w:rsidRPr="00000000">
        <w:rPr>
          <w:rFonts w:ascii="Verdana" w:cs="Verdana" w:eastAsia="Verdana" w:hAnsi="Verdana"/>
          <w:b w:val="0"/>
          <w:i w:val="0"/>
          <w:smallCaps w:val="0"/>
          <w:strike w:val="0"/>
          <w:color w:val="000000"/>
          <w:sz w:val="22"/>
          <w:szCs w:val="22"/>
          <w:highlight w:val="yellow"/>
          <w:u w:val="none"/>
          <w:vertAlign w:val="baseline"/>
          <w:rtl w:val="0"/>
        </w:rPr>
        <w:t xml:space="preserve">XXXX</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Por essa razão, este r. Juízo Eleitoral julgou as contas da referida agremiação partidária como NÃO PRESTADAS, aplicando como penalidade a suspensão do recebimento das cotas do Fundo Partidário e do Fundo Especial de Financiamento de Campanha pelo prazo que permanecer omisso. Vejamos: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Verdana" w:cs="Verdana" w:eastAsia="Verdana" w:hAnsi="Verdana"/>
          <w:b w:val="0"/>
          <w:i w:val="0"/>
          <w:smallCaps w:val="0"/>
          <w:strike w:val="0"/>
          <w:color w:val="ff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“Colar ou transcrever o dispositivo da decisão”</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decisão supracitada transitou em julgado em </w:t>
      </w:r>
      <w:r w:rsidDel="00000000" w:rsidR="00000000" w:rsidRPr="00000000">
        <w:rPr>
          <w:rFonts w:ascii="Verdana" w:cs="Verdana" w:eastAsia="Verdana" w:hAnsi="Verdana"/>
          <w:b w:val="0"/>
          <w:i w:val="0"/>
          <w:smallCaps w:val="0"/>
          <w:strike w:val="0"/>
          <w:color w:val="000000"/>
          <w:sz w:val="22"/>
          <w:szCs w:val="22"/>
          <w:highlight w:val="yellow"/>
          <w:u w:val="none"/>
          <w:vertAlign w:val="baseline"/>
          <w:rtl w:val="0"/>
        </w:rPr>
        <w:t xml:space="preserve">XX/XX/20XX</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consoante certidão do Cartório Eleitoral de </w:t>
      </w:r>
      <w:r w:rsidDel="00000000" w:rsidR="00000000" w:rsidRPr="00000000">
        <w:rPr>
          <w:rFonts w:ascii="Verdana" w:cs="Verdana" w:eastAsia="Verdana" w:hAnsi="Verdana"/>
          <w:b w:val="0"/>
          <w:i w:val="0"/>
          <w:smallCaps w:val="0"/>
          <w:strike w:val="0"/>
          <w:color w:val="000000"/>
          <w:sz w:val="22"/>
          <w:szCs w:val="22"/>
          <w:highlight w:val="yellow"/>
          <w:u w:val="none"/>
          <w:vertAlign w:val="baseline"/>
          <w:rtl w:val="0"/>
        </w:rPr>
        <w:t xml:space="preserve">ID XX</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Ocorre que, além da proibição de recebimento de recursos do Fundo Partidário e do Fundo Especial de Financiamento de Campanha, a legislação eleitoral prevê como sanção à agremiação omissa a suspensão de sua anotação, nos termos do art. 47, II, da Resolução TSE 23.604/2019, quando se tratar de prestação de contas anual do partido, ou nos termos do art. 80, II, “b”, da Resolução TSE 23.607/2019, quando se tratar de prestação de contas de campanha do partido.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Portanto, comprovado que o Partido representado se omitiu do dever de prestar contas à Justiça Eleitoral, e sendo definitiva (transitada em julgado) a decisão judicial que julgou essas contas como NÃO PRESTADAS, a suspensão da anotação do Órgão Partidário, nos termos das Resoluções do TSE nº 23.604/2019, 23.707/2019 e 23.571/2018, é a medida de rigor.</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3. DO DIREITO</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Prevê o art. 17 da Constituição Federal de 1988: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Art. 17</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É livre a criação, fusão, incorporação e extinção de partidos políticos, resguardados a soberania nacional, o regime democrático, o pluripartidarismo, os direitos fundamentais da pessoa humana e observados os seguintes preceitos: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 - caráter nacional;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II - proibição de recebimento de recursos financeiros de entidade ou governo estrangeiros ou de subordinação a estes;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III - prestação de contas à Justiça Eleitoral;</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(grifo nosso)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No mesmo sentido, a Lei nº 9.096/95, que trata dos partidos políticos, dispõe nos seus artigos 32 e 34, V, que: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Art. 32</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 partido está obrigado a enviar, anualmente, à Justiça Eleitoral, o balanço contábil do exercício findo, até o dia 30 de junho do ano seguinte.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Art. 34</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 Justiça Eleitoral exerce a fiscalização sobre a prestação de contas do partido e das despesas de campanha eleitoral, devendo atestar se elas refletem adequadamente a real movimentação financeira, os dispêndios e os recursos aplicados nas campanhas eleitorais, exigindo a observação das seguintes normas: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V</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obrigatoriedade de prestação de contas pelo partido político e por seus candidatos no encerramento da campanha eleitoral, com o recolhimento imediato à tesouraria do partido dos saldos financeiros eventualmente apurados.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Em caso de não apresentação das contas, que, repita-se, é obrigatória, o Partido Político omisso, além da suspensão do recebimento das cotas do Fundo Partidário e do Fundo Especial de Financiamento de Campanha, terá suspensa a anotação do órgão de direção municipal, até que seja regularizada a situação, conforme dispõe o art. 47 da Resolução TSE nº 23.604/19, que trata da prestação de contas anual dos partidos: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 47. A decisão que julgar a prestação de contas não prestada acarreta ao órgão partidário: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 - a perda do direito ao recebimento da quota do Fundo Partidário, do Fundo Especial de Financiamento de Campanha; 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II - a suspensão do registro ou da anotação do órgão partidário, após decisão, com trânsito em julgado, precedida de processo regular que assegure ampla defesa (STF ADI nº 6.032, julgada em 5.12.2019)”</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(grifo nosso).</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No mesmo sentido, tratando-se de prestação de contas de campanha dos partidos, estabelece o art. 80, da Resolução TSE 23.607/2019:</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Art. 80</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 decisão que julgar as contas eleitorais como não prestadas acarreta:</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 - à candidata ou ao candidato, o impedimento de obter a certidão de quitação eleitoral até o fim da legislatura, persistindo os efeitos da restrição após esse período até a efetiva apresentação das contas;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II - ao partido político:</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a perda do direito ao recebimento da quota do Fundo Partidário, do Fundo Especial de Financiamento de Campanha, 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b) a suspensão do registro ou anotação do órgão partidário, após decisão, com trânsito em julgado, precedida de processo regular que assegure ampla defesa </w:t>
      </w:r>
      <w:hyperlink r:id="rId6">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(STF ADI nº 6032, j. em 05.12.2019)</w:t>
        </w:r>
      </w:hyperlink>
      <w:hyperlink r:id="rId7">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(grifo nosso)</w:t>
        </w:r>
      </w:hyperlink>
      <w:hyperlink r:id="rId8">
        <w:r w:rsidDel="00000000" w:rsidR="00000000" w:rsidRPr="00000000">
          <w:rPr>
            <w:rFonts w:ascii="Verdana" w:cs="Verdana" w:eastAsia="Verdana" w:hAnsi="Verdana"/>
            <w:b w:val="0"/>
            <w:i w:val="0"/>
            <w:smallCaps w:val="0"/>
            <w:strike w:val="0"/>
            <w:color w:val="000080"/>
            <w:sz w:val="22"/>
            <w:szCs w:val="22"/>
            <w:u w:val="none"/>
            <w:shd w:fill="auto" w:val="clear"/>
            <w:vertAlign w:val="baseline"/>
            <w:rtl w:val="0"/>
          </w:rPr>
          <w:t xml:space="preserve"> </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 procedimento da Representação para aplicação dessa sanção de suspensão da anotação do órgão partidário está agora previsto na Resolução TSE nº 23.571/2018, com as alterações que lhe foram promovidas pela Resolução TSE nº 23.662/2021,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 verbis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“Art. 54-A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Serão precedidos de processo regular, que assegure ampla defesa, nos termos do art. 28, § 1º, da Lei nº 9.096/1995 e das disposições específicas do presente capítulo: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II – a suspensão da anotação de órgão partidário estadual, regional, municipal ou zonal, quando decorrente do trânsito em julgado da decisão que julgar não prestadas as contas de exercício financeiro ou de campanha eleitoral (ADI nº 6032). </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Art. 54-B.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Certificado o trânsito em julgado de decisão que julgar não prestadas as contas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de exercício financeiro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ou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de campanha eleitoral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dos órgãos partidários de qualquer esfera, o juízo com competência originária para a prestação de contas respectiva providenciará imediatamente: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a publicação de edital no Diário da Justiça Eletrônico, do qual constará o nome e a sigla do partido, a esfera de abrangência do órgão partidário, a eleição ou o exercício financeiro correspondente às contas julgadas não prestadas e a data do trânsito em julgado da decisão;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a intimação do órgão do Ministério Público Eleitoral que atuar perante o juízo; 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III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a comunicação das esferas partidárias superiores, quando houver.</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1º</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Para fins do disposto nos incisos I e III deste artigo, serão utilizados os meios eletrônicos informados no Sistema de Gerenciamento de Dados Partidários (SGIP), sendo de responsabilidade do partido mantê-los atualizados.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2º</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Os tribunais eleitorais manterão disponíveis para consulta pública, em página específica do seu sítio eletrônico, as informações referidas no inciso I, cabendo-lhes atualizá-las até o quinto dia útil do mês subsequente ao do trânsito em julgado das decisões de julgamento das contas como não prestadas.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3º</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 previsto no § 2º dirige-se ao Tribunal Superior Eleitoral, no que diz respeito aos órgãos nacionais e, quanto aos demais órgãos partidários, aos tribunais regionais eleitorais da respectiva unidade federativa.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(grifo nosso)</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mesma Resolução TSE nº 23.571/2018, alterada pela Resolução TSE nº 23.662/2021, esclarece a Representação a ser apresentada e seu processamento, como se observa:</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Art.54-N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 suspensão da anotação de órgão partidário estadual, regional, municipal ou zonal poderá ser requerida à Justiça Eleitoral a partir do trânsito em julgado da decisão que julgar não prestadas as contas de exercício financeiro e de campanha, enquanto perdurar a inadimplência.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1º</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 petição deve ser dirigida ao juízo originariamente competente para o julgamento das contas omissas e, em se tratando de contas examinadas originariamente pelo Tribunal Regional Eleitoral, o processo será distribuído por prevenção ao relator da prestação de contas. </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2º</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 pedido poderá ser requerido diretamente por representante de órgão partidário da esfera correspondente ou a ela superior, devidamente representado por advogado, ou pelo representante do Ministério Público Eleitoral que atuar perante o juízo competente (Código Eleitoral, art. 22, I, a; Lei nº 9.096/1995, art. 28, § 2º).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3º</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 iniciativa por parte do representante de partido não impede a ação do Ministério Público no mesmo sentido (Lei Complementar nº 64/1990, art. 3º, § 1º).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4º</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Não poderá requerer a suspensão prevista no caput deste artigo o representante do Ministério Público que, nos 4 (quatro) anos anteriores, tenha disputado cargo eletivo, integrado diretório de partido ou exercido atividade político-partidária (Lei Complementar nº 64/1990, art. 3º, § 2º).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5º</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Apresentado pelo eleitor pedido de providências relativas à suspensão da anotação de órgão partidário, será este autuado no PJe, na classe Petição (Pet) e remetido ao órgão do Ministério Público Eleitoral com legitimidade para ingressar com a representação prevista no caput, que a ajuizará, se entender por seu cabimento, ou requererá o arquivamento do pedido de providências, se concluir pelo não cabimento da representação.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6º</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No caso de contas do exercício financeiro ou de campanha julgadas não prestadas definitivamente, a ação de suspensão da anotação deve ser dirigida contra o respectivo órgão partidário da circunscrição vigente no momento do ajuizamento da ação. </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7º</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Caso o órgão partidário referido no parágrafo anterior não tenha mais vigência válida, a ação de suspensão de anotação deve ser direcionada contra o órgão de direção partidária superior, sem que isso implique alteração da competência estabelecida no § 1º.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8º</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 hipótese do § 7º, eventual suspensão da anotação somente terá efeito no âmbito da circunscrição do órgão partidário que lhe deu causa.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Art. 54-O.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Ajuizada a representação, o processo será autuado diretamente no PJe, na classe Suspensão de Órgão Partidário (SOP).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Parágrafo único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 Secretaria Judiciária nos tribunais eleitorais ou o cartório eleitoral certificará: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todas as contas de exercícios financeiros e de campanhas julgadas não prestadas por decisão transitada em julgado, quando existente tal informação;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 a vigência do diretório”.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Art. 54-P.</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 tramitação do feito, será observado o disposto nos art. 54-G a 54-K, assegurada a atuação do procurador regional eleitoral ou do promotor eleitoral como fiscal da lei, quando não forem autores da representação.</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(grifo nosso)</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Desse modo,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 casu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indubitável que a suspensão do registro ou anotação do órgão partidário representado é a medida salutar, não havendo alternativa a não ser o oferecimento e o deferimento da presente representação.</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4. DOS PEDIDOS</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Por todo o exposto, o Ministério Público Eleitoral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requer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08"/>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 recebimento e o processamento da presente representação, com a adoção do rito previsto nos arts. 54-G a 54-K da Resolução TSE nº 23.571/2018, conforme art. 54-P dessa mesma Resolução;</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08"/>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08"/>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que o Cartório Eleitoral certifique (art. 54-O, Res. TSE nº 23.571/2018):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08"/>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b.1)</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todas as contas de exercícios financeiros e de campanhas do Partido julgadas não prestadas por decisão transitada em julgado, quando existente tal informação; 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08"/>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b.2)</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 vigência ou não do diretório ou comissão provisória municipal;</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08"/>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08"/>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c)</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 citação do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órgão partidário vigente no momento do ajuizamento da presente ação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para defesa, nos termos do art. 54-G c/c art. 54-N, § 6º, da Resolução TSE 23.571/2018, ou na sua falta, do órgão de direção partidária superior, sem que isso implique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alteração da competência estabelecida, nos termos do art. 54-N, § 7º, da mesma Resolução;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08"/>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08"/>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e, ao final, o julgamento de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PROCEDÊNCIA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 presente Representação, para que, persistindo as irregularidades quanto a prestação de contas, seja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SUSPENSA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 anotação do órgão de direção municipal do Partido  </w:t>
      </w:r>
      <w:r w:rsidDel="00000000" w:rsidR="00000000" w:rsidRPr="00000000">
        <w:rPr>
          <w:rFonts w:ascii="Verdana" w:cs="Verdana" w:eastAsia="Verdana" w:hAnsi="Verdana"/>
          <w:b w:val="0"/>
          <w:i w:val="0"/>
          <w:smallCaps w:val="0"/>
          <w:strike w:val="0"/>
          <w:color w:val="000000"/>
          <w:sz w:val="22"/>
          <w:szCs w:val="22"/>
          <w:highlight w:val="yellow"/>
          <w:u w:val="none"/>
          <w:vertAlign w:val="baseline"/>
          <w:rtl w:val="0"/>
        </w:rPr>
        <w:t xml:space="preserve">XXX</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do município de </w:t>
      </w:r>
      <w:r w:rsidDel="00000000" w:rsidR="00000000" w:rsidRPr="00000000">
        <w:rPr>
          <w:rFonts w:ascii="Verdana" w:cs="Verdana" w:eastAsia="Verdana" w:hAnsi="Verdana"/>
          <w:b w:val="0"/>
          <w:i w:val="0"/>
          <w:smallCaps w:val="0"/>
          <w:strike w:val="0"/>
          <w:color w:val="000000"/>
          <w:sz w:val="22"/>
          <w:szCs w:val="22"/>
          <w:highlight w:val="yellow"/>
          <w:u w:val="none"/>
          <w:vertAlign w:val="baseline"/>
          <w:rtl w:val="0"/>
        </w:rPr>
        <w:t xml:space="preserve">XXXX</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conforme previsto nas Resoluções TSE nº 23.604/2019, 23.607 e 23.571/2018;</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08"/>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08"/>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após o trânsito em julgado da decisão que decretar a suspensão da anotação do órgão partidário municipal, requer, desde já, a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comunicação para fins de registro ao Tribunal Regional Eleitoral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nos termos do art. 54-R, da Resolução TSE 23.571/2018, para a devida anotação no SGIP.</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08"/>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08"/>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Caso seja necessário, protesta provar o alegado por todos os meios e formas em direito admitidos, embora a prova documental já juntada na inicial seja suficiente para a integral procedência da presente Representação.</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08"/>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708"/>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Pede e espera deferimento.</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2835"/>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spacing w:before="120" w:lineRule="auto"/>
        <w:jc w:val="center"/>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Local de data.</w:t>
      </w:r>
    </w:p>
    <w:p w:rsidR="00000000" w:rsidDel="00000000" w:rsidP="00000000" w:rsidRDefault="00000000" w:rsidRPr="00000000" w14:paraId="00000071">
      <w:pPr>
        <w:spacing w:before="120" w:lineRule="auto"/>
        <w:jc w:val="center"/>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72">
      <w:pPr>
        <w:spacing w:before="120" w:lineRule="auto"/>
        <w:jc w:val="center"/>
        <w:rPr>
          <w:rFonts w:ascii="Verdana" w:cs="Verdana" w:eastAsia="Verdana" w:hAnsi="Verdana"/>
          <w:sz w:val="22"/>
          <w:szCs w:val="22"/>
          <w:vertAlign w:val="baseline"/>
        </w:rPr>
      </w:pPr>
      <w:r w:rsidDel="00000000" w:rsidR="00000000" w:rsidRPr="00000000">
        <w:rPr>
          <w:rFonts w:ascii="Verdana" w:cs="Verdana" w:eastAsia="Verdana" w:hAnsi="Verdana"/>
          <w:sz w:val="22"/>
          <w:szCs w:val="22"/>
          <w:highlight w:val="yellow"/>
          <w:vertAlign w:val="baseline"/>
          <w:rtl w:val="0"/>
        </w:rPr>
        <w:t xml:space="preserve">XXXX</w:t>
      </w:r>
      <w:r w:rsidDel="00000000" w:rsidR="00000000" w:rsidRPr="00000000">
        <w:rPr>
          <w:rtl w:val="0"/>
        </w:rPr>
      </w:r>
    </w:p>
    <w:p w:rsidR="00000000" w:rsidDel="00000000" w:rsidP="00000000" w:rsidRDefault="00000000" w:rsidRPr="00000000" w14:paraId="00000073">
      <w:pPr>
        <w:spacing w:before="120" w:lineRule="auto"/>
        <w:jc w:val="center"/>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PROMOTOR ELEITORAL</w:t>
      </w:r>
      <w:r w:rsidDel="00000000" w:rsidR="00000000" w:rsidRPr="00000000">
        <w:rPr>
          <w:rtl w:val="0"/>
        </w:rPr>
      </w:r>
    </w:p>
    <w:p w:rsidR="00000000" w:rsidDel="00000000" w:rsidP="00000000" w:rsidRDefault="00000000" w:rsidRPr="00000000" w14:paraId="00000074">
      <w:pPr>
        <w:spacing w:before="120" w:lineRule="auto"/>
        <w:jc w:val="both"/>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14:paraId="00000075">
      <w:pPr>
        <w:spacing w:before="120" w:lineRule="auto"/>
        <w:jc w:val="both"/>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14:paraId="00000076">
      <w:pPr>
        <w:spacing w:before="120" w:lineRule="auto"/>
        <w:jc w:val="both"/>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Rol de documentos:</w:t>
      </w:r>
      <w:r w:rsidDel="00000000" w:rsidR="00000000" w:rsidRPr="00000000">
        <w:rPr>
          <w:rtl w:val="0"/>
        </w:rPr>
      </w:r>
    </w:p>
    <w:p w:rsidR="00000000" w:rsidDel="00000000" w:rsidP="00000000" w:rsidRDefault="00000000" w:rsidRPr="00000000" w14:paraId="00000077">
      <w:pPr>
        <w:spacing w:before="120" w:lineRule="auto"/>
        <w:jc w:val="both"/>
        <w:rPr>
          <w:vertAlign w:val="baseline"/>
        </w:rPr>
      </w:pP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Cópia integral da Prestação de contas nº </w:t>
      </w:r>
      <w:r w:rsidDel="00000000" w:rsidR="00000000" w:rsidRPr="00000000">
        <w:rPr>
          <w:rFonts w:ascii="Verdana" w:cs="Verdana" w:eastAsia="Verdana" w:hAnsi="Verdana"/>
          <w:sz w:val="22"/>
          <w:szCs w:val="22"/>
          <w:highlight w:val="yellow"/>
          <w:vertAlign w:val="baseline"/>
          <w:rtl w:val="0"/>
        </w:rPr>
        <w:t xml:space="preserve">XXX</w:t>
      </w:r>
      <w:r w:rsidDel="00000000" w:rsidR="00000000" w:rsidRPr="00000000">
        <w:rPr>
          <w:rFonts w:ascii="Verdana" w:cs="Verdana" w:eastAsia="Verdana" w:hAnsi="Verdana"/>
          <w:sz w:val="22"/>
          <w:szCs w:val="22"/>
          <w:vertAlign w:val="baseline"/>
          <w:rtl w:val="0"/>
        </w:rPr>
        <w:t xml:space="preserve">, que julgou não prestadas as contas do partido representado.</w:t>
      </w:r>
      <w:r w:rsidDel="00000000" w:rsidR="00000000" w:rsidRPr="00000000">
        <w:rPr>
          <w:rtl w:val="0"/>
        </w:rPr>
      </w:r>
    </w:p>
    <w:sectPr>
      <w:headerReference r:id="rId9" w:type="default"/>
      <w:footerReference r:id="rId10" w:type="default"/>
      <w:pgSz w:h="16838" w:w="11906" w:orient="portrait"/>
      <w:pgMar w:bottom="1365" w:top="2268" w:left="1985" w:right="1134" w:header="964"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 w:name="Arial Blac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center" w:leader="none" w:pos="4393"/>
        <w:tab w:val="right" w:leader="none" w:pos="9072"/>
      </w:tabs>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66cc"/>
        <w:sz w:val="24"/>
        <w:szCs w:val="24"/>
        <w:u w:val="none"/>
        <w:shd w:fill="auto" w:val="clear"/>
        <w:vertAlign w:val="baseline"/>
      </w:rPr>
      <w:drawing>
        <wp:inline distB="0" distT="0" distL="114300" distR="114300">
          <wp:extent cx="706755" cy="75692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06755" cy="756920"/>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MINISTÉRIO PÚBLICO ELEITORAL</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center" w:leader="none" w:pos="4535"/>
        <w:tab w:val="right" w:leader="none" w:pos="9072"/>
      </w:tabs>
      <w:spacing w:after="0" w:before="0" w:line="360" w:lineRule="auto"/>
      <w:ind w:left="0" w:right="0" w:firstLine="0"/>
      <w:jc w:val="center"/>
      <w:rPr>
        <w:rFonts w:ascii="Arial Black" w:cs="Arial Black" w:eastAsia="Arial Black" w:hAnsi="Arial Black"/>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Promotoria Eleitoral em ___________/__</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Black" w:cs="Arial Black" w:eastAsia="Arial Black" w:hAnsi="Arial Black"/>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portal.stf.jus.br/processos/detalhe.asp?incidente=5565542" TargetMode="External"/><Relationship Id="rId7" Type="http://schemas.openxmlformats.org/officeDocument/2006/relationships/hyperlink" Target="https://portal.stf.jus.br/processos/detalhe.asp?incidente=5565542" TargetMode="External"/><Relationship Id="rId8" Type="http://schemas.openxmlformats.org/officeDocument/2006/relationships/hyperlink" Target="https://portal.stf.jus.br/processos/detalhe.asp?incidente=556554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