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Trata-se de pedido de registro de candidatura, no qual se verifica que o(a) requerente apresentou </w:t>
      </w:r>
      <w:r>
        <w:rPr>
          <w:rFonts w:cs="Arial" w:ascii="Cambria" w:hAnsi="Cambria"/>
          <w:color w:val="000000"/>
          <w:szCs w:val="24"/>
          <w:u w:val="single"/>
        </w:rPr>
        <w:t>certidão criminal positiva</w:t>
      </w:r>
      <w:r>
        <w:rPr>
          <w:rFonts w:cs="Arial" w:ascii="Cambria" w:hAnsi="Cambria"/>
          <w:color w:val="000000"/>
          <w:szCs w:val="24"/>
        </w:rPr>
        <w:t xml:space="preserve"> (fls. ___ ).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E</w:t>
      </w:r>
      <w:r>
        <w:rPr>
          <w:rFonts w:cs="Arial" w:ascii="Cambria" w:hAnsi="Cambria"/>
          <w:color w:val="000000"/>
          <w:szCs w:val="24"/>
        </w:rPr>
        <w:t xml:space="preserve">ntretanto, o(a) requerente não apresentou a </w:t>
      </w:r>
      <w:r>
        <w:rPr>
          <w:rFonts w:cs="Arial" w:ascii="Cambria" w:hAnsi="Cambria"/>
          <w:color w:val="000000"/>
          <w:szCs w:val="24"/>
          <w:u w:val="single"/>
        </w:rPr>
        <w:t xml:space="preserve">certidão narrativa </w:t>
      </w:r>
      <w:r>
        <w:rPr>
          <w:rFonts w:cs="Arial" w:ascii="Cambria" w:hAnsi="Cambria"/>
          <w:color w:val="000000"/>
          <w:szCs w:val="24"/>
        </w:rPr>
        <w:t xml:space="preserve">(“objeto e pé”) </w:t>
      </w:r>
      <w:r>
        <w:rPr>
          <w:rFonts w:cs="Arial" w:ascii="Cambria" w:hAnsi="Cambria"/>
          <w:color w:val="000000"/>
          <w:szCs w:val="24"/>
          <w:u w:val="single"/>
        </w:rPr>
        <w:t>atualizada</w:t>
      </w:r>
      <w:r>
        <w:rPr>
          <w:rFonts w:cs="Arial" w:ascii="Cambria" w:hAnsi="Cambria"/>
          <w:color w:val="000000"/>
          <w:szCs w:val="24"/>
        </w:rPr>
        <w:t xml:space="preserve"> do(s) processo(s) indicados na certidão </w:t>
      </w:r>
      <w:r>
        <w:rPr>
          <w:rFonts w:cs="Arial" w:ascii="Cambria" w:hAnsi="Cambria"/>
          <w:b/>
          <w:bCs/>
          <w:color w:val="000000"/>
          <w:szCs w:val="24"/>
          <w:u w:val="single"/>
        </w:rPr>
        <w:t>ou</w:t>
      </w:r>
      <w:r>
        <w:rPr>
          <w:rFonts w:cs="Arial" w:ascii="Cambria" w:hAnsi="Cambria"/>
          <w:color w:val="000000"/>
          <w:szCs w:val="24"/>
        </w:rPr>
        <w:t xml:space="preserve"> </w:t>
      </w:r>
      <w:r>
        <w:rPr>
          <w:rFonts w:cs="Arial" w:ascii="Cambria" w:hAnsi="Cambria"/>
          <w:color w:val="000000"/>
          <w:szCs w:val="24"/>
          <w:u w:val="single"/>
        </w:rPr>
        <w:t>certidão de homonímia</w:t>
      </w:r>
      <w:r>
        <w:rPr>
          <w:rFonts w:cs="Arial" w:ascii="Cambria" w:hAnsi="Cambria"/>
          <w:color w:val="000000"/>
          <w:szCs w:val="24"/>
        </w:rPr>
        <w:t xml:space="preserve">, o que é exigido pelos §§ 7º e 8º do art. 27 da Resolução TSE nº 23.609/2019, </w:t>
      </w:r>
      <w:r>
        <w:rPr>
          <w:rFonts w:cs="Arial" w:ascii="Cambria" w:hAnsi="Cambria"/>
          <w:i/>
          <w:iCs/>
          <w:color w:val="000000"/>
          <w:szCs w:val="24"/>
        </w:rPr>
        <w:t>verbis:</w:t>
      </w:r>
      <w:r>
        <w:rPr>
          <w:rFonts w:cs="Arial" w:ascii="Cambria" w:hAnsi="Cambria"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color w:val="000000"/>
          <w:szCs w:val="24"/>
        </w:rPr>
      </w:pPr>
      <w:r>
        <w:rPr>
          <w:rFonts w:eastAsia="Arial" w:cs="Arial" w:ascii="Cambria" w:hAnsi="Cambria"/>
          <w:color w:val="000000"/>
          <w:szCs w:val="24"/>
        </w:rPr>
        <w:t xml:space="preserve">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Art. 27. O formulário RRC deve ser apresentado com os seguintes documentos anexados ao CANDex: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III - certidões criminais para fins eleitorais fornecidas (Lei nº 9.504/1997, art. 11, § 1º, VII):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a) pela Justiça Federal de 1º e 2º graus da circunscrição na qual o candidato tenha o seu domicílio eleitoral;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b) pela Justiça Estadual de 1º e 2º graus da circunscrição na qual o candidato tenha o seu domicílio eleitoral;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c) pelos tribunais competentes, quando os candidatos gozarem de foro por prerrogativa de função;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[...]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7º Quando as certidões criminais a que se refere o inciso III do caput forem positivas, o RRC também deverá ser instruído com as respectivas certidões de objeto e pé atualizadas de cada um dos processos indicados, bem como das certidões de execuções criminais, quando for o caso.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8º No caso de as certidões a que se refere o inciso III do caput serem positivas, mas, em decorrência de homonímia, não se referirem ao candidato, este poderá instruir o processo com documentos que esclareçam a situação.</w:t>
      </w:r>
    </w:p>
    <w:p>
      <w:pPr>
        <w:pStyle w:val="Normal"/>
        <w:spacing w:lineRule="auto" w:line="360"/>
        <w:ind w:left="1985" w:right="0" w:hanging="1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Ante o exposto, o Ministério Público Eleitoral manifesta-se pela </w:t>
      </w:r>
      <w:r>
        <w:rPr>
          <w:rFonts w:cs="Arial" w:ascii="Cambria" w:hAnsi="Cambria"/>
          <w:color w:val="000000"/>
          <w:szCs w:val="24"/>
          <w:u w:val="single"/>
        </w:rPr>
        <w:t>conversão do feito em diligência</w:t>
      </w:r>
      <w:r>
        <w:rPr>
          <w:rFonts w:cs="Arial" w:ascii="Cambria" w:hAnsi="Cambria"/>
          <w:color w:val="000000"/>
          <w:szCs w:val="24"/>
        </w:rPr>
        <w:t xml:space="preserve"> (art. 36 da Resolução TSE nº 23.609/2019) a fim de possibilitar à(ao) requerente sanear o vício no prazo de 03 (três) dias, sendo que, </w:t>
      </w:r>
      <w:r>
        <w:rPr>
          <w:rFonts w:cs="Arial" w:ascii="Cambria" w:hAnsi="Cambria"/>
          <w:color w:val="000000"/>
          <w:szCs w:val="24"/>
          <w:u w:val="single"/>
        </w:rPr>
        <w:t>caso não suprido o vício</w:t>
      </w:r>
      <w:r>
        <w:rPr>
          <w:rFonts w:cs="Arial" w:ascii="Cambria" w:hAnsi="Cambria"/>
          <w:color w:val="000000"/>
          <w:szCs w:val="24"/>
        </w:rPr>
        <w:t xml:space="preserve">, se manifesta desde já pelo </w:t>
      </w:r>
      <w:r>
        <w:rPr>
          <w:rFonts w:cs="Arial" w:ascii="Cambria" w:hAnsi="Cambria"/>
          <w:b/>
          <w:bCs/>
          <w:color w:val="000000"/>
          <w:szCs w:val="24"/>
        </w:rPr>
        <w:t>indeferimento</w:t>
      </w:r>
      <w:r>
        <w:rPr>
          <w:rFonts w:cs="Arial" w:ascii="Cambria" w:hAnsi="Cambria"/>
          <w:color w:val="000000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LibreOffice/7.2.6.2$Windows_X86_64 LibreOffice_project/b0ec3a565991f7569a5a7f5d24fed7f52653d754</Application>
  <AppVersion>15.0000</AppVersion>
  <Pages>2</Pages>
  <Words>305</Words>
  <Characters>1566</Characters>
  <CharactersWithSpaces>1856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2023-06-06T13:13:42Z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