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12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 xml:space="preserve">EXCELENTÍSSIMO SENHOR(A) </w:t>
      </w:r>
      <w:r>
        <w:rPr>
          <w:rFonts w:eastAsia="Cambria" w:cs="Cambria" w:ascii="Cambria" w:hAnsi="Cambria"/>
          <w:b/>
          <w:i w:val="false"/>
          <w:caps w:val="false"/>
          <w:smallCaps w:val="false"/>
          <w:strike w:val="false"/>
          <w:dstrike w:val="false"/>
          <w:color w:val="000000"/>
          <w:position w:val="0"/>
          <w:sz w:val="24"/>
          <w:sz w:val="24"/>
          <w:szCs w:val="24"/>
          <w:highlight w:val="white"/>
          <w:u w:val="none"/>
          <w:vertAlign w:val="baseline"/>
        </w:rPr>
        <w:t>JUIZ(A) DA ___ ZONA ELEITORAL/</w:t>
      </w:r>
      <w:r>
        <w:rPr>
          <w:rFonts w:eastAsia="Cambria" w:cs="Cambria" w:ascii="Cambria" w:hAnsi="Cambria"/>
          <w:b/>
          <w:sz w:val="24"/>
          <w:szCs w:val="24"/>
          <w:highlight w:val="white"/>
        </w:rPr>
        <w:t>TO</w:t>
      </w:r>
    </w:p>
    <w:p>
      <w:pPr>
        <w:pStyle w:val="Normal1"/>
        <w:keepNext w:val="false"/>
        <w:keepLines w:val="false"/>
        <w:pageBreakBefore w:val="false"/>
        <w:widowControl w:val="false"/>
        <w:pBdr/>
        <w:shd w:val="clear" w:fill="auto"/>
        <w:spacing w:lineRule="auto" w:line="240"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REPRESENTAÇÃO - SUSPENSÃO DA ANOTAÇÃO DE ÓRGÃO PARTIDÁRIO MUNICIPAL – CONTAS NÃO PRESTADAS</w:t>
      </w:r>
    </w:p>
    <w:p>
      <w:pPr>
        <w:pStyle w:val="Normal1"/>
        <w:keepNext w:val="false"/>
        <w:keepLines w:val="false"/>
        <w:pageBreakBefore w:val="false"/>
        <w:widowControl w:val="false"/>
        <w:pBdr/>
        <w:shd w:val="clear" w:fill="auto"/>
        <w:spacing w:lineRule="auto" w:line="240"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spacing w:lineRule="auto" w:line="360"/>
        <w:rPr>
          <w:sz w:val="24"/>
          <w:szCs w:val="24"/>
        </w:rPr>
      </w:pPr>
      <w:r>
        <w:rPr>
          <w:rFonts w:eastAsia="Cambria" w:cs="Cambria" w:ascii="Cambria" w:hAnsi="Cambria"/>
          <w:color w:val="FF0000"/>
          <w:sz w:val="24"/>
          <w:szCs w:val="24"/>
        </w:rPr>
        <w:t>Modelo MPMS adaptado</w:t>
      </w:r>
    </w:p>
    <w:p>
      <w:pPr>
        <w:pStyle w:val="Normal1"/>
        <w:keepNext w:val="false"/>
        <w:keepLines w:val="false"/>
        <w:pageBreakBefore w:val="false"/>
        <w:widowControl w:val="false"/>
        <w:pBdr/>
        <w:shd w:val="clear" w:fill="auto"/>
        <w:spacing w:lineRule="auto" w:line="240"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firstLine="170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O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MINISTÉRIO PÚBLICO ELEITORAL</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por seu </w:t>
      </w:r>
      <w:r>
        <w:rPr>
          <w:rFonts w:eastAsia="Cambria" w:cs="Cambria" w:ascii="Cambria" w:hAnsi="Cambria"/>
          <w:sz w:val="24"/>
          <w:szCs w:val="24"/>
        </w:rPr>
        <w:t>m</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embro que ao final subscreve, no uso de suas atribuições legais e constitucionais, vem à ilustre presença de Vossa Excelência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propor</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com fundamento nos arts. 127 da Constituição Federal e 72 e 78 da LC 75/1993, bem como no 28, § 1º, da Lei 9.096/1995, 47 da Resolução TSE 23.604/2019, no 80 da Resolução TSE 23.607/2019 e no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54-A e seguintes da Resolução TSE 23.571/2018</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a presente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REPRESENTAÇÃO PELA SUSPENSÃO DA ANOTAÇÃO DE ÓRGÃO PARTIDÁRIO</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em face do Partido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do município de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XXXXX/XX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pessoa jurídica de direito privado, CNPJ nº ______________ </w:t>
      </w:r>
      <w:r>
        <w:rPr>
          <w:rFonts w:eastAsia="Cambria" w:cs="Cambria" w:ascii="Cambria" w:hAnsi="Cambria"/>
          <w:i w:val="false"/>
          <w:caps w:val="false"/>
          <w:smallCaps w:val="false"/>
          <w:strike w:val="false"/>
          <w:dstrike w:val="false"/>
          <w:color w:val="FF0000"/>
          <w:position w:val="0"/>
          <w:sz w:val="24"/>
          <w:sz w:val="24"/>
          <w:szCs w:val="24"/>
          <w:u w:val="none"/>
          <w:shd w:fill="auto" w:val="clear"/>
          <w:vertAlign w:val="baseline"/>
        </w:rPr>
        <w:t>(se houver)</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representado pelo seu Presidente e Tesoureiro, com sede na ___________________________ (</w:t>
      </w:r>
      <w:r>
        <w:rPr>
          <w:rFonts w:eastAsia="Cambria" w:cs="Cambria" w:ascii="Cambria" w:hAnsi="Cambria"/>
          <w:i w:val="false"/>
          <w:caps w:val="false"/>
          <w:smallCaps w:val="false"/>
          <w:strike w:val="false"/>
          <w:dstrike w:val="false"/>
          <w:color w:val="FF0000"/>
          <w:position w:val="0"/>
          <w:sz w:val="24"/>
          <w:sz w:val="24"/>
          <w:szCs w:val="24"/>
          <w:u w:val="none"/>
          <w:shd w:fill="auto" w:val="clear"/>
          <w:vertAlign w:val="baseline"/>
        </w:rPr>
        <w:t>endereço na PC</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em razão dos fatos e fundamentos a seguir expostos.</w:t>
      </w:r>
    </w:p>
    <w:p>
      <w:pPr>
        <w:pStyle w:val="Normal1"/>
        <w:keepNext w:val="false"/>
        <w:keepLines w:val="false"/>
        <w:pageBreakBefore w:val="false"/>
        <w:widowControl w:val="false"/>
        <w:pBdr/>
        <w:shd w:val="clear" w:fill="auto"/>
        <w:spacing w:lineRule="auto" w:line="276"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1. DO CABIMENTO</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r>
      <w:r>
        <w:rPr>
          <w:rFonts w:eastAsia="Cambria" w:cs="Cambria" w:ascii="Cambria" w:hAnsi="Cambria"/>
          <w:i/>
          <w:caps w:val="false"/>
          <w:smallCaps w:val="false"/>
          <w:strike w:val="false"/>
          <w:dstrike w:val="false"/>
          <w:color w:val="000000"/>
          <w:position w:val="0"/>
          <w:sz w:val="24"/>
          <w:sz w:val="24"/>
          <w:szCs w:val="24"/>
          <w:u w:val="none"/>
          <w:shd w:fill="auto" w:val="clear"/>
          <w:vertAlign w:val="baseline"/>
        </w:rPr>
        <w:t>Ab initio</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importante esclarecer a necessidade do oferecimento da presente Representação pela suspensão da anotação da agremiação partidária supracitada. </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t>Como se verá adiante, além da perda do direito ao recebimento da quota do Fundo Partidário e do Fundo Especial de Financiamento de Campanha, a legislação eleitoral prevê como sanção ao Partido Político que deixar de apresentar prestação de contas a suspensão de sua anotação. ,</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t xml:space="preserve">Essa penalidade, até pouco tempo, era reconhecida como efeito imediato da sentença que julgava as contas como não prestadas, haja vista a ausência de previsão legal acerca do tema. </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t>Todavia, o Supremo Tribunal Federal deu interpretação diversa aos dispositivos que cominam tal sanção, no sentido de que, para que haja suspensão da anotação dos órgãos partidários estaduais, regionais, municipais ou zonais, é imprescindível a instauração de procedimento autônomo, a fim de que seja resguardado o direito ao contraditório e à ampla defesa</w:t>
      </w:r>
      <w:r>
        <w:rPr>
          <w:rFonts w:eastAsia="Cambria" w:cs="Cambria" w:ascii="Cambria" w:hAnsi="Cambria"/>
          <w:sz w:val="24"/>
          <w:szCs w:val="24"/>
        </w:rPr>
        <w:t xml:space="preserve">. Dessa forma, </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 supracitada penalidade não decorre</w:t>
      </w:r>
      <w:r>
        <w:rPr>
          <w:rFonts w:eastAsia="Cambria" w:cs="Cambria" w:ascii="Cambria" w:hAnsi="Cambria"/>
          <w:sz w:val="24"/>
          <w:szCs w:val="24"/>
        </w:rPr>
        <w:t xml:space="preserve"> automatica</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mente da sentença exarada nos autos de prestação de contas, nos termos do julgamento no STF na ADI nº 6.032, </w:t>
      </w:r>
      <w:r>
        <w:rPr>
          <w:rFonts w:eastAsia="Cambria" w:cs="Cambria" w:ascii="Cambria" w:hAnsi="Cambria"/>
          <w:sz w:val="24"/>
          <w:szCs w:val="24"/>
        </w:rPr>
        <w:t>apreciada</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em 5.12.2019.</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t>No referido julgamento, o STF, “por maioria, julgou parcialmente procedente o pedido para conferir interpretação conforme à Constituição às normas do art. 47, caput e § 2º, da Res./TSE 23.432/2014; do art. 48, caput e § 2º, da Res./TSE 23.546/2017; e do art. 42, caput, da Res./TSE 23.571/2018, afastando qualquer interpretação que permita que a sanção de suspensão do registro ou anotação do órgão partidário regional ou municipal seja aplicada de forma automática, como consequência da decisão que julga as contas não prestadas, assegurando que tal penalidade somente pode ser aplicada após decisão, com trânsito em julgado, decorrente de procedimento específico de suspensão de registro, conforme o art. 28 da Lei 9.096/1995, nos termos do voto do Relator”.</w:t>
      </w:r>
    </w:p>
    <w:p>
      <w:pPr>
        <w:pStyle w:val="Normal1"/>
        <w:keepNext w:val="false"/>
        <w:keepLines w:val="false"/>
        <w:pageBreakBefore w:val="false"/>
        <w:widowControl/>
        <w:pBdr/>
        <w:shd w:val="clear" w:fill="auto"/>
        <w:tabs>
          <w:tab w:val="clear" w:pos="708"/>
          <w:tab w:val="left" w:pos="2268" w:leader="none"/>
        </w:tabs>
        <w:spacing w:lineRule="auto" w:line="276" w:before="120" w:after="0"/>
        <w:ind w:left="0"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pBdr/>
        <w:shd w:val="clear" w:fill="auto"/>
        <w:tabs>
          <w:tab w:val="clear" w:pos="708"/>
          <w:tab w:val="left" w:pos="1690" w:leader="none"/>
        </w:tabs>
        <w:spacing w:lineRule="auto" w:line="276" w:before="120" w:after="0"/>
        <w:ind w:left="0" w:right="0" w:hanging="0"/>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t>Assim, em atendimento à decisão da Suprema Corte e visando evitar futura alegação de nulidade por inobservância de princípios fundamentais, o Ministério Público Eleitoral oferece a presente Representação, requerendo, desde já, seja</w:t>
      </w:r>
      <w:r>
        <w:rPr>
          <w:rFonts w:eastAsia="Cambria" w:cs="Cambria" w:ascii="Cambria" w:hAnsi="Cambria"/>
          <w:sz w:val="24"/>
          <w:szCs w:val="24"/>
        </w:rPr>
        <w:t xml:space="preserve"> </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aplicada a penalidade de suspensão da anotação do órgão partidário representado, até a regularização da situação perante a Justiça Eleitoral.</w:t>
      </w:r>
    </w:p>
    <w:p>
      <w:pPr>
        <w:pStyle w:val="Normal1"/>
        <w:keepNext w:val="false"/>
        <w:keepLines w:val="false"/>
        <w:pageBreakBefore w:val="false"/>
        <w:widowControl w:val="false"/>
        <w:pBdr/>
        <w:shd w:val="clear" w:fill="auto"/>
        <w:spacing w:lineRule="auto" w:line="276"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2. DOS FATOS</w:t>
      </w:r>
    </w:p>
    <w:p>
      <w:pPr>
        <w:pStyle w:val="Normal1"/>
        <w:keepNext w:val="false"/>
        <w:keepLines w:val="false"/>
        <w:pageBreakBefore w:val="false"/>
        <w:widowControl w:val="false"/>
        <w:pBdr/>
        <w:shd w:val="clear" w:fill="auto"/>
        <w:spacing w:lineRule="auto" w:line="276" w:before="12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Consoante se extrai dos autos da Prestação de Contas de nº _______________ (cópia integral anexa), o Partido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mesmo intimado, não prestou contas à Justiça Eleitoral, relativas ao exercício financeiro </w:t>
      </w:r>
      <w:r>
        <w:rPr>
          <w:rFonts w:eastAsia="Cambria" w:cs="Cambria" w:ascii="Cambria" w:hAnsi="Cambria"/>
          <w:i w:val="false"/>
          <w:caps w:val="false"/>
          <w:smallCaps w:val="false"/>
          <w:strike w:val="false"/>
          <w:dstrike w:val="false"/>
          <w:color w:val="FF0000"/>
          <w:position w:val="0"/>
          <w:sz w:val="24"/>
          <w:sz w:val="24"/>
          <w:szCs w:val="24"/>
          <w:u w:val="none"/>
          <w:shd w:fill="auto" w:val="clear"/>
          <w:vertAlign w:val="baseline"/>
        </w:rPr>
        <w:t>(ou à campanha eleitoral)</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do ano de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Por essa razão, este Juízo Eleitoral julgou as contas da referida agremiação partidária como NÃO PRESTADAS, aplicando como penalidade a suspensão do recebimento das cotas do Fundo Partidário e do Fundo Especial de Financiamento de Campanha pelo prazo </w:t>
      </w:r>
      <w:r>
        <w:rPr>
          <w:rFonts w:eastAsia="Cambria" w:cs="Cambria" w:ascii="Cambria" w:hAnsi="Cambria"/>
          <w:sz w:val="24"/>
          <w:szCs w:val="24"/>
        </w:rPr>
        <w:t>de permanência da omissão</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Vejamos:</w:t>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FF0000"/>
          <w:position w:val="0"/>
          <w:sz w:val="24"/>
          <w:sz w:val="24"/>
          <w:szCs w:val="24"/>
          <w:u w:val="none"/>
          <w:shd w:fill="auto" w:val="clear"/>
          <w:vertAlign w:val="baseline"/>
        </w:rPr>
        <w:t>“</w:t>
      </w:r>
      <w:r>
        <w:rPr>
          <w:rFonts w:eastAsia="Cambria" w:cs="Cambria" w:ascii="Cambria" w:hAnsi="Cambria"/>
          <w:i w:val="false"/>
          <w:caps w:val="false"/>
          <w:smallCaps w:val="false"/>
          <w:strike w:val="false"/>
          <w:dstrike w:val="false"/>
          <w:color w:val="FF0000"/>
          <w:position w:val="0"/>
          <w:sz w:val="24"/>
          <w:sz w:val="24"/>
          <w:szCs w:val="24"/>
          <w:u w:val="none"/>
          <w:shd w:fill="auto" w:val="clear"/>
          <w:vertAlign w:val="baseline"/>
        </w:rPr>
        <w:t>Colar ou transcrever o dispositivo da decisão”</w:t>
      </w:r>
    </w:p>
    <w:p>
      <w:pPr>
        <w:pStyle w:val="Normal1"/>
        <w:keepNext w:val="false"/>
        <w:keepLines w:val="false"/>
        <w:pageBreakBefore w:val="false"/>
        <w:widowControl w:val="false"/>
        <w:pBdr/>
        <w:shd w:val="clear" w:fill="auto"/>
        <w:spacing w:lineRule="auto" w:line="276" w:before="0" w:after="0"/>
        <w:ind w:left="0" w:right="0" w:hanging="0"/>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A decisão supracitada transitou em julgado em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XX/XX/20XX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consoante certidão do Cartório Eleitoral de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ID 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Ocorre que, além da proibição de recebimento de recursos do Fundo Partidário e do Fundo Especial de Financiamento de Campanha, a legislação eleitoral prevê como sanção à agremiação omissa a suspensão de sua anotação, nos termos do art. 47, II, da Resolução TSE 23.604/2019, quando se tratar de prestação de contas anual do partido, ou nos termos do art. 80, II, “b”, da Resolução TSE 23.607/2019, quando se tratar de prestação de contas de campanha do partido. </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Portanto, comprovado que o Partido representado se omitiu do dever de prestar contas à Justiça Eleitoral, e sendo definitiva (transitada em julgado) a decisão judicial que julgou essas contas como NÃO PRESTADAS, a suspensão da anotação do Órgão Partidário, nos termos das Resoluções do TSE 23.604/2019, 23.707/2019 e 23.571/2018, é medida de rigor.</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3. DO DIREITO</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Prevê o art. 17 da Constituição Federal de 1988: </w:t>
      </w:r>
    </w:p>
    <w:p>
      <w:pPr>
        <w:pStyle w:val="Normal1"/>
        <w:keepNext w:val="false"/>
        <w:keepLines w:val="false"/>
        <w:pageBreakBefore w:val="false"/>
        <w:widowControl w:val="false"/>
        <w:pBdr/>
        <w:shd w:val="clear" w:fill="auto"/>
        <w:spacing w:lineRule="auto" w:line="276" w:before="0" w:after="0"/>
        <w:ind w:left="1701" w:right="0" w:hanging="0"/>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17</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É livre a criação, fusão, incorporação e extinção de partidos políticos, resguardados a soberania nacional, o regime democrático, o pluripartidarismo, os direitos fundamentais da pessoa humana e observados os seguintes preceitos:</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I - caráter nacional;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II - proibição de recebimento de recursos financeiros de entidade ou governo estrangeiros ou de subordinação a estes;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III - prestação de contas à Justiça Eleitoral;</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 </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(grifo nosso) </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No mesmo sentido, a Lei 9.096/95, que trata dos partidos políticos, dispõe nos seus artigos 32 e 34, V, que: </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sz w:val="24"/>
          <w:szCs w:val="24"/>
        </w:rPr>
      </w:pPr>
      <w:r>
        <w:rPr>
          <w:rFonts w:eastAsia="Cambria" w:cs="Cambria" w:ascii="Cambria" w:hAnsi="Cambria"/>
          <w:sz w:val="24"/>
          <w:szCs w:val="24"/>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32</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O partido está obrigado a enviar, anualmente, à Justiça Eleitoral, o balanço contábil do exercício findo, até o dia 30 de junho do ano seguinte.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val="false"/>
        <w:pBdr/>
        <w:shd w:val="clear" w:fill="auto"/>
        <w:spacing w:lineRule="auto" w:line="276" w:before="0" w:after="0"/>
        <w:ind w:left="2267" w:right="0" w:hanging="0"/>
        <w:jc w:val="both"/>
        <w:rPr>
          <w:rFonts w:ascii="Cambria" w:hAnsi="Cambria" w:eastAsia="Cambria" w:cs="Cambria"/>
          <w:b/>
          <w:b/>
          <w:sz w:val="22"/>
          <w:szCs w:val="22"/>
        </w:rPr>
      </w:pPr>
      <w:r>
        <w:rPr>
          <w:rFonts w:eastAsia="Cambria" w:cs="Cambria" w:ascii="Cambria" w:hAnsi="Cambria"/>
          <w:b/>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34</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 Justiça Eleitoral exerce a fiscalização sobre a prestação de contas do partido e das despesas de campanha eleitoral, devendo atestar se elas refletem adequadamente a real movimentação financeira, os dispêndios e os recursos aplicados nas campanhas eleitorais, exigindo a observação das seguintes normas: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V</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 obrigatoriedade de prestação de contas pelo partido político e por seus candidatos no encerramento da campanha eleitoral, com o recolhimento imediato à tesouraria do partido dos saldos financeiros eventualmente apurados.</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Em caso de não apresentação das contas, que, repita-se, é obrigatória, o Partido Político omisso, além da suspensão do recebimento das cotas do Fundo Partidário e do Fundo Especial de Financiamento de Campanha, terá suspensa a anotação do órgão de direção municipal, até que seja regularizada a situação, conforme dispõe o art. 47 da Resolução TSE 23.604/19, que trata da prestação de contas anual dos partidos: </w:t>
      </w:r>
    </w:p>
    <w:p>
      <w:pPr>
        <w:pStyle w:val="Normal1"/>
        <w:keepNext w:val="false"/>
        <w:keepLines w:val="false"/>
        <w:pageBreakBefore w:val="false"/>
        <w:widowControl w:val="false"/>
        <w:pBdr/>
        <w:shd w:val="clear" w:fill="auto"/>
        <w:spacing w:lineRule="auto" w:line="276" w:before="0" w:after="0"/>
        <w:ind w:left="1701" w:right="0" w:hanging="0"/>
        <w:jc w:val="both"/>
        <w:rPr>
          <w:rFonts w:ascii="Cambria" w:hAnsi="Cambria" w:eastAsia="Cambria" w:cs="Cambria"/>
          <w:sz w:val="22"/>
          <w:szCs w:val="22"/>
        </w:rPr>
      </w:pPr>
      <w:r>
        <w:rPr>
          <w:rFonts w:eastAsia="Cambria" w:cs="Cambria" w:ascii="Cambria" w:hAnsi="Cambria"/>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47.</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 decisão que julgar a prestação de contas não prestada acarreta ao órgão partidário: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I - a perda do direito ao recebimento da quota do Fundo Partidário, do Fundo Especial de Financiamento de Campanha; e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II - a suspensão do registro ou da anotação do órgão partidário, após decisão, com trânsito em julgado, precedida de processo regular que assegure ampla defesa (STF ADI nº 6.032, julgada em 5.12.2019)</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(grifo nosso)</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No mesmo sentido, tratando-se de prestação de contas de campanha dos partidos, estabelece o art. 80, da Resolução TSE 23.607/2019:</w:t>
      </w:r>
    </w:p>
    <w:p>
      <w:pPr>
        <w:pStyle w:val="Normal1"/>
        <w:keepNext w:val="false"/>
        <w:keepLines w:val="false"/>
        <w:pageBreakBefore w:val="false"/>
        <w:widowControl w:val="false"/>
        <w:pBdr/>
        <w:shd w:val="clear" w:fill="auto"/>
        <w:spacing w:lineRule="auto" w:line="276" w:before="0" w:after="0"/>
        <w:ind w:left="1701" w:right="0" w:hanging="0"/>
        <w:jc w:val="both"/>
        <w:rPr>
          <w:rFonts w:ascii="Cambria" w:hAnsi="Cambria" w:eastAsia="Cambria" w:cs="Cambria"/>
          <w:sz w:val="22"/>
          <w:szCs w:val="22"/>
        </w:rPr>
      </w:pPr>
      <w:r>
        <w:rPr>
          <w:rFonts w:eastAsia="Cambria" w:cs="Cambria" w:ascii="Cambria" w:hAnsi="Cambria"/>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80</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A decisão que julgar as contas eleitorais como não prestadas acarreta:</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I - à candidata ou ao candidato, o impedimento de obter a certidão de quitação eleitoral até o fim da legislatura, persistindo os efeitos da restrição após esse período até a efetiva apresentação das contas;</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II - ao partido político:</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a) a perda do direito ao recebimento da quota do Fundo Partidário, do Fundo Especial de Financiamento de Campanha, e</w:t>
      </w:r>
    </w:p>
    <w:p>
      <w:pPr>
        <w:pStyle w:val="Normal1"/>
        <w:keepNext w:val="false"/>
        <w:keepLines w:val="false"/>
        <w:pageBreakBefore w:val="false"/>
        <w:widowControl w:val="false"/>
        <w:pBdr/>
        <w:shd w:val="clear" w:fill="auto"/>
        <w:spacing w:lineRule="auto" w:line="276" w:before="0" w:after="0"/>
        <w:ind w:left="2267" w:right="0" w:hanging="0"/>
        <w:jc w:val="both"/>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b) a suspensão do registro ou anotação do órgão partidário, após decisão, com trânsito em julgado, precedida de processo regular que assegure ampla defesa </w:t>
      </w:r>
      <w:hyperlink r:id="rId2">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(STF ADI nº 6032, j. em 05.12.2019)</w:t>
        </w:r>
      </w:hyperlink>
      <w:hyperlink r:id="rId3">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(grifo nosso)</w:t>
        </w:r>
      </w:hyperlink>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O procedimento da Representação para aplicação dessa sanção de suspensão da anotação do órgão partidário está agora previsto na Resolução TSE 23.571/2018, com as alterações que lhe foram promovidas pela Resolução TSE 23.662/2021, </w:t>
      </w:r>
      <w:r>
        <w:rPr>
          <w:rFonts w:eastAsia="Cambria" w:cs="Cambria" w:ascii="Cambria" w:hAnsi="Cambria"/>
          <w:i/>
          <w:caps w:val="false"/>
          <w:smallCaps w:val="false"/>
          <w:strike w:val="false"/>
          <w:dstrike w:val="false"/>
          <w:color w:val="000000"/>
          <w:position w:val="0"/>
          <w:sz w:val="24"/>
          <w:sz w:val="24"/>
          <w:szCs w:val="24"/>
          <w:u w:val="none"/>
          <w:shd w:fill="auto" w:val="clear"/>
          <w:vertAlign w:val="baseline"/>
        </w:rPr>
        <w:t>in verbis</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0" w:after="0"/>
        <w:ind w:left="1701" w:right="0" w:hanging="0"/>
        <w:jc w:val="both"/>
        <w:rPr>
          <w:rFonts w:ascii="Cambria" w:hAnsi="Cambria" w:eastAsia="Cambria" w:cs="Cambria"/>
          <w:b/>
          <w:b/>
          <w:sz w:val="22"/>
          <w:szCs w:val="22"/>
        </w:rPr>
      </w:pPr>
      <w:r>
        <w:rPr>
          <w:rFonts w:eastAsia="Cambria" w:cs="Cambria" w:ascii="Cambria" w:hAnsi="Cambria"/>
          <w:b/>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54-A</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Serão precedidos de processo regular, que assegure ampla defesa, nos termos do art. 28, § 1º, da Lei nº 9.096/1995 e das disposições específicas do presente capítulo: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II – a suspensão da anotação de órgão partidário estadual, regional, municipal ou zonal, quando decorrente do trânsito em julgado da decisão que julgar não prestadas as contas de exercício financeiro ou de campanha eleitoral (ADI nº 6032).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0" w:after="0"/>
        <w:ind w:left="2267" w:right="0" w:hanging="0"/>
        <w:jc w:val="both"/>
        <w:rPr>
          <w:rFonts w:ascii="Cambria" w:hAnsi="Cambria" w:eastAsia="Cambria" w:cs="Cambria"/>
          <w:b/>
          <w:b/>
          <w:sz w:val="22"/>
          <w:szCs w:val="22"/>
        </w:rPr>
      </w:pPr>
      <w:r>
        <w:rPr>
          <w:rFonts w:eastAsia="Cambria" w:cs="Cambria" w:ascii="Cambria" w:hAnsi="Cambria"/>
          <w:b/>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54-B.</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Certificado o trânsito em julgado de decisão que julgar não prestadas as contas </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de exercício financeiro</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ou </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de campanha eleitoral</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dos órgãos partidários de qualquer esfera, o juízo com competência originária para a prestação de contas respectiva providenciará imediatamente:</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 a publicação de edital no Diário da Justiça Eletrônico, do qual constará o nome e a sigla do partido, a esfera de abrangência do órgão partidário, a eleição ou o exercício financeiro correspondente às contas julgadas não prestadas e a data do trânsito em julgado da decisão;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II</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 a intimação do órgão do Ministério Público Eleitoral que atuar perante o juízo; e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III</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 a comunicação das esferas partidárias superiores, quando houver.</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1º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Para fins do disposto nos incisos I e III deste artigo, serão utilizados os meios eletrônicos informados no Sistema de Gerenciamento de Dados Partidários (SGIP), sendo de responsabilidade do partido mantê-los atualizados.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2º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Os tribunais eleitorais manterão disponíveis para consulta pública, em página específica do seu sítio eletrônico, as informações referidas no inciso I, cabendo-lhes atualizá-las até o quinto dia útil do mês subsequente ao do trânsito em julgado das decisões de julgamento das contas como não prestadas.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3º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O previsto no § 2º dirige-se ao Tribunal Superior Eleitoral, no que diz respeito aos órgãos nacionais e, quanto aos demais órgãos partidários, aos tribunais regionais eleitorais da respectiva unidade federativa.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(grifo nosso)</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 mesma Resolução TSE 23.571/2018, alterada pela Resolução TSE 23.662/2021, esclarece a Representação a ser apresentada e seu processamento, como se observa:</w:t>
      </w:r>
    </w:p>
    <w:p>
      <w:pPr>
        <w:pStyle w:val="Normal1"/>
        <w:keepNext w:val="false"/>
        <w:keepLines w:val="false"/>
        <w:pageBreakBefore w:val="false"/>
        <w:widowControl w:val="false"/>
        <w:pBdr/>
        <w:shd w:val="clear" w:fill="auto"/>
        <w:spacing w:lineRule="auto" w:line="276" w:before="0" w:after="0"/>
        <w:ind w:left="1701" w:right="0" w:hanging="0"/>
        <w:jc w:val="both"/>
        <w:rPr>
          <w:rFonts w:ascii="Cambria" w:hAnsi="Cambria" w:eastAsia="Cambria" w:cs="Cambria"/>
          <w:sz w:val="22"/>
          <w:szCs w:val="22"/>
        </w:rPr>
      </w:pPr>
      <w:r>
        <w:rPr>
          <w:rFonts w:eastAsia="Cambria" w:cs="Cambria" w:ascii="Cambria" w:hAnsi="Cambria"/>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Art.54-N</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 suspensão da anotação de órgão partidário estadual, regional, municipal ou zonal poderá ser requerida à Justiça Eleitoral a partir do trânsito em julgado da decisão que julgar não prestadas as contas de exercício financeiro e de campanha, enquanto perdurar a inadimplência.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1º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A petição deve ser dirigida ao juízo originariamente competente para o julgamento das contas omissas e, em se tratando de contas examinadas originariamente pelo Tribunal Regional Eleitoral, o processo será distribuído por prevenção ao relator da prestação de contas.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2º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O pedido poderá ser requerido diretamente por representante de órgão partidário da esfera correspondente ou a ela superior, devidamente representado por advogado, ou pelo representante do Ministério Público Eleitoral que atuar perante o juízo competente (Código Eleitoral, art. 22, I, a; Lei nº 9.096/1995, art. 28, § 2º).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3º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 iniciativa por parte do representante de partido não impede a ação do Ministério Público no mesmo sentido (Lei Complementar nº 64/1990, art. 3º, § 1º).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4º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Não poderá requerer a suspensão prevista no caput deste artigo o representante do Ministério Público que, nos 4 (quatro) anos anteriores, tenha disputado cargo eletivo, integrado diretório de partido ou exercido atividade político-partidária (Lei Complementar nº 64/1990, art. 3º, § 2º).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5º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Apresentado pelo eleitor pedido de providências relativas à suspensão da anotação de órgão partidário, será este autuado no PJe, na classe Petição (Pet) e remetido ao órgão do Ministério Público Eleitoral com legitimidade para ingressar com a representação prevista no caput, que a ajuizará, se entender por seu cabimento, ou requererá o arquivamento do pedido de providências, se concluir pelo não cabimento da representação.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6º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xml:space="preserve">No caso de contas do exercício financeiro ou de campanha julgadas não prestadas definitivamente, a ação de suspensão da anotação deve ser dirigida contra o respectivo órgão partidário da circunscrição vigente no momento do ajuizamento da ação.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7º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Caso o órgão partidário referido no parágrafo anterior não tenha mais vigência válida, a ação de suspensão de anotação deve ser direcionada contra o órgão de direção partidária superior, sem que isso implique alteração da competência estabelecida no § 1º.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 8º</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Na hipótese do § 7º, eventual suspensão da anotação somente terá efeito no âmbito da circunscrição do órgão partidário que lhe deu causa. </w:t>
      </w:r>
    </w:p>
    <w:p>
      <w:pPr>
        <w:pStyle w:val="Normal1"/>
        <w:keepNext w:val="false"/>
        <w:keepLines w:val="false"/>
        <w:pageBreakBefore w:val="false"/>
        <w:widowControl w:val="false"/>
        <w:pBdr/>
        <w:shd w:val="clear" w:fill="auto"/>
        <w:spacing w:lineRule="auto" w:line="276" w:before="0" w:after="0"/>
        <w:ind w:left="2267" w:right="0" w:hanging="0"/>
        <w:jc w:val="both"/>
        <w:rPr>
          <w:rFonts w:ascii="Cambria" w:hAnsi="Cambria" w:eastAsia="Cambria" w:cs="Cambria"/>
          <w:b/>
          <w:b/>
          <w:sz w:val="22"/>
          <w:szCs w:val="22"/>
        </w:rPr>
      </w:pPr>
      <w:r>
        <w:rPr>
          <w:rFonts w:eastAsia="Cambria" w:cs="Cambria" w:ascii="Cambria" w:hAnsi="Cambria"/>
          <w:b/>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54-O.</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Ajuizada a representação, o processo será autuado diretamente no PJe, na classe Suspensão de Órgão Partidário (SOP).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Parágrafo único</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A Secretaria Judiciária nos tribunais eleitorais ou o cartório eleitoral certificará: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a) todas as contas de exercícios financeiros e de campanhas julgadas não prestadas por decisão transitada em julgado, quando existente tal informação; </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b) a vigência do diretório”. </w:t>
      </w:r>
    </w:p>
    <w:p>
      <w:pPr>
        <w:pStyle w:val="Normal1"/>
        <w:keepNext w:val="false"/>
        <w:keepLines w:val="false"/>
        <w:pageBreakBefore w:val="false"/>
        <w:widowControl w:val="false"/>
        <w:pBdr/>
        <w:shd w:val="clear" w:fill="auto"/>
        <w:spacing w:lineRule="auto" w:line="276" w:before="0" w:after="0"/>
        <w:ind w:left="2267" w:right="0" w:hanging="0"/>
        <w:jc w:val="both"/>
        <w:rPr>
          <w:rFonts w:ascii="Cambria" w:hAnsi="Cambria" w:eastAsia="Cambria" w:cs="Cambria"/>
          <w:b/>
          <w:b/>
          <w:sz w:val="22"/>
          <w:szCs w:val="22"/>
        </w:rPr>
      </w:pPr>
      <w:r>
        <w:rPr>
          <w:rFonts w:eastAsia="Cambria" w:cs="Cambria" w:ascii="Cambria" w:hAnsi="Cambria"/>
          <w:b/>
          <w:sz w:val="22"/>
          <w:szCs w:val="22"/>
        </w:rPr>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b/>
          <w:i w:val="false"/>
          <w:caps w:val="false"/>
          <w:smallCaps w:val="false"/>
          <w:strike w:val="false"/>
          <w:dstrike w:val="false"/>
          <w:color w:val="000000"/>
          <w:position w:val="0"/>
          <w:sz w:val="22"/>
          <w:sz w:val="22"/>
          <w:szCs w:val="22"/>
          <w:u w:val="none"/>
          <w:shd w:fill="auto" w:val="clear"/>
          <w:vertAlign w:val="baseline"/>
        </w:rPr>
        <w:t>Art. 54-P.</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Na tramitação do feito, será observado o disposto nos </w:t>
      </w:r>
      <w:r>
        <w:rPr>
          <w:rFonts w:eastAsia="Cambria" w:cs="Cambria" w:ascii="Cambria" w:hAnsi="Cambria"/>
          <w:sz w:val="22"/>
          <w:szCs w:val="22"/>
        </w:rPr>
        <w:t>arts.</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54-G a 54-K, assegurada a atuação do procurador regional eleitoral ou do promotor eleitoral como fiscal da lei, quando não forem autores da representação.</w:t>
      </w:r>
    </w:p>
    <w:p>
      <w:pPr>
        <w:pStyle w:val="Normal1"/>
        <w:keepNext w:val="false"/>
        <w:keepLines w:val="false"/>
        <w:pageBreakBefore w:val="false"/>
        <w:widowControl w:val="false"/>
        <w:pBdr/>
        <w:shd w:val="clear" w:fill="auto"/>
        <w:spacing w:lineRule="auto" w:line="276" w:before="0" w:after="0"/>
        <w:ind w:left="2267" w:right="0" w:hanging="0"/>
        <w:jc w:val="both"/>
        <w:rPr>
          <w:sz w:val="22"/>
          <w:szCs w:val="22"/>
        </w:rPr>
      </w:pP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(grifo nosso)</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Desse modo, </w:t>
      </w:r>
      <w:r>
        <w:rPr>
          <w:rFonts w:eastAsia="Cambria" w:cs="Cambria" w:ascii="Cambria" w:hAnsi="Cambria"/>
          <w:i/>
          <w:caps w:val="false"/>
          <w:smallCaps w:val="false"/>
          <w:strike w:val="false"/>
          <w:dstrike w:val="false"/>
          <w:color w:val="000000"/>
          <w:position w:val="0"/>
          <w:sz w:val="24"/>
          <w:sz w:val="24"/>
          <w:szCs w:val="24"/>
          <w:u w:val="none"/>
          <w:shd w:fill="auto" w:val="clear"/>
          <w:vertAlign w:val="baseline"/>
        </w:rPr>
        <w:t>in casu</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indubitável que a suspensão do registro ou anotação do órgão partidário representado é a medida salutar, não havendo alternativa a não ser o oferecimento e o deferimento da presente representação.</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4. DOS PEDIDOS</w:t>
      </w:r>
    </w:p>
    <w:p>
      <w:pPr>
        <w:pStyle w:val="Normal1"/>
        <w:keepNext w:val="false"/>
        <w:keepLines w:val="false"/>
        <w:pageBreakBefore w:val="false"/>
        <w:widowControl w:val="false"/>
        <w:pBdr/>
        <w:shd w:val="clear" w:fill="auto"/>
        <w:spacing w:lineRule="auto" w:line="276" w:before="0" w:after="0"/>
        <w:ind w:left="0" w:right="0" w:firstLine="1701"/>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1701"/>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Por todo o exposto, o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Ministério Público Eleitoral requer</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a)</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o recebimento e o processamento da presente representação, com a adoção do rito previsto nos arts. 54-G a 54-K da Resolução TSE nº 23.571/2018, conforme art. 54-P dessa mesma Resolução;</w:t>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b)</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que o Cartório Eleitoral certifique (art. 54-O, Res. TSE nº 23.571/2018): </w:t>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b.1)</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todas as contas de exercícios financeiros e de campanhas do Partido julgadas não prestadas por decisão transitada em julgado, quando existente tal informação; e</w:t>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b.2)</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a vigência ou não do diretório ou comissão provisória municipal;</w:t>
      </w:r>
    </w:p>
    <w:p>
      <w:pPr>
        <w:pStyle w:val="Normal1"/>
        <w:keepNext w:val="false"/>
        <w:keepLines w:val="false"/>
        <w:pageBreakBefore w:val="false"/>
        <w:widowControl w:val="false"/>
        <w:pBdr/>
        <w:shd w:val="clear" w:fill="auto"/>
        <w:spacing w:lineRule="auto" w:line="276" w:before="120" w:after="0"/>
        <w:ind w:left="0" w:right="0" w:firstLine="708"/>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c)</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a citação do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órgão partidário vigente no momento do ajuizamento da presente ação</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para defesa, nos termos do art. 54-G c/c art. 54-N, § 6º, da Resolução TSE 23.571/2018, ou na sua falta, do órgão de direção partidária superior, sem que isso implique alteração da competência estabelecida, nos termos do art. 54-N, § 7º, da mesma Resolução;  </w:t>
      </w:r>
    </w:p>
    <w:p>
      <w:pPr>
        <w:pStyle w:val="Normal1"/>
        <w:keepNext w:val="false"/>
        <w:keepLines w:val="false"/>
        <w:pageBreakBefore w:val="false"/>
        <w:widowControl w:val="false"/>
        <w:pBdr/>
        <w:shd w:val="clear" w:fill="auto"/>
        <w:spacing w:lineRule="auto" w:line="276" w:before="120" w:after="0"/>
        <w:ind w:left="0" w:right="0" w:firstLine="708"/>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d)</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e, ao final, o julgamento de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PROCEDÊNCIA</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da presente Representação, para que, persistindo as irregularidades quanto a prestação de contas, seja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SUSPENSA</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a anotação do órgão de direção municipal do Partido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do município de </w:t>
      </w:r>
      <w:r>
        <w:rPr>
          <w:rFonts w:eastAsia="Cambria" w:cs="Cambria" w:ascii="Cambria" w:hAnsi="Cambria"/>
          <w:i w:val="false"/>
          <w:caps w:val="false"/>
          <w:smallCaps w:val="false"/>
          <w:strike w:val="false"/>
          <w:dstrike w:val="false"/>
          <w:color w:val="000000"/>
          <w:position w:val="0"/>
          <w:sz w:val="24"/>
          <w:sz w:val="24"/>
          <w:szCs w:val="24"/>
          <w:highlight w:val="yellow"/>
          <w:u w:val="none"/>
          <w:vertAlign w:val="baseline"/>
        </w:rPr>
        <w:t>XXXX</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conforme previsto nas Resoluções TSE 23.604/2019, 23.607 e 23.571/2018;</w:t>
      </w:r>
    </w:p>
    <w:p>
      <w:pPr>
        <w:pStyle w:val="Normal1"/>
        <w:keepNext w:val="false"/>
        <w:keepLines w:val="false"/>
        <w:pageBreakBefore w:val="false"/>
        <w:widowControl w:val="false"/>
        <w:pBdr/>
        <w:shd w:val="clear" w:fill="auto"/>
        <w:spacing w:lineRule="auto" w:line="276" w:before="120" w:after="0"/>
        <w:ind w:left="0" w:right="0" w:firstLine="708"/>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120" w:after="0"/>
        <w:ind w:left="0" w:right="0" w:firstLine="708"/>
        <w:jc w:val="both"/>
        <w:rPr>
          <w:sz w:val="24"/>
          <w:szCs w:val="24"/>
        </w:rPr>
      </w:pP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e)</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após o trânsito em julgado da decisão que decretar a suspensão da anotação do órgão partidário municipal, requer, desde já, a </w:t>
      </w:r>
      <w:r>
        <w:rPr>
          <w:rFonts w:eastAsia="Cambria" w:cs="Cambria" w:ascii="Cambria" w:hAnsi="Cambria"/>
          <w:b/>
          <w:i w:val="false"/>
          <w:caps w:val="false"/>
          <w:smallCaps w:val="false"/>
          <w:strike w:val="false"/>
          <w:dstrike w:val="false"/>
          <w:color w:val="000000"/>
          <w:position w:val="0"/>
          <w:sz w:val="24"/>
          <w:sz w:val="24"/>
          <w:szCs w:val="24"/>
          <w:u w:val="none"/>
          <w:shd w:fill="auto" w:val="clear"/>
          <w:vertAlign w:val="baseline"/>
        </w:rPr>
        <w:t>comunicação para fins de registro ao Tribunal Regional Eleitoral</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nos termos do art. 54-R, da Resolução TSE 23.571/2018, para a devida anotação no SGIP.</w:t>
      </w:r>
    </w:p>
    <w:p>
      <w:pPr>
        <w:pStyle w:val="Normal1"/>
        <w:keepNext w:val="false"/>
        <w:keepLines w:val="false"/>
        <w:pageBreakBefore w:val="false"/>
        <w:widowControl w:val="false"/>
        <w:pBdr/>
        <w:shd w:val="clear" w:fill="auto"/>
        <w:spacing w:lineRule="auto" w:line="276" w:before="120" w:after="0"/>
        <w:ind w:left="0" w:right="0" w:firstLine="708"/>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pacing w:lineRule="auto" w:line="276"/>
        <w:ind w:left="0" w:firstLine="1700"/>
        <w:jc w:val="both"/>
        <w:rPr>
          <w:sz w:val="24"/>
          <w:szCs w:val="24"/>
        </w:rPr>
      </w:pPr>
      <w:r>
        <w:rPr>
          <w:rFonts w:eastAsia="Cambria" w:cs="Cambria" w:ascii="Cambria" w:hAnsi="Cambria"/>
          <w:sz w:val="24"/>
          <w:szCs w:val="24"/>
        </w:rPr>
        <w:t>Caso</w:t>
      </w: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 xml:space="preserve"> seja necessário, protesta provar o alegado por todos os meios e formas em direito admitidos, embora a prova documental já juntada na inicial seja suficiente para a integral procedência da presente Representação.</w:t>
      </w:r>
    </w:p>
    <w:p>
      <w:pPr>
        <w:pStyle w:val="Normal1"/>
        <w:keepNext w:val="false"/>
        <w:keepLines w:val="false"/>
        <w:pageBreakBefore w:val="false"/>
        <w:widowControl w:val="false"/>
        <w:pBdr/>
        <w:shd w:val="clear" w:fill="auto"/>
        <w:spacing w:lineRule="auto" w:line="240" w:before="120" w:after="0"/>
        <w:ind w:left="0" w:right="0" w:firstLine="708"/>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120" w:after="0"/>
        <w:ind w:left="0" w:right="0" w:firstLine="2835"/>
        <w:jc w:val="both"/>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r>
    </w:p>
    <w:p>
      <w:pPr>
        <w:pStyle w:val="Normal1"/>
        <w:spacing w:lineRule="auto" w:line="360"/>
        <w:ind w:firstLine="1701"/>
        <w:jc w:val="both"/>
        <w:rPr>
          <w:sz w:val="24"/>
          <w:szCs w:val="24"/>
        </w:rPr>
      </w:pPr>
      <w:r>
        <w:rPr>
          <w:rFonts w:eastAsia="Cambria" w:cs="Cambria" w:ascii="Cambria" w:hAnsi="Cambria"/>
          <w:sz w:val="24"/>
          <w:szCs w:val="24"/>
        </w:rPr>
        <w:t>________/TO, ___ de _______ de 2023.</w:t>
      </w:r>
    </w:p>
    <w:p>
      <w:pPr>
        <w:pStyle w:val="Normal1"/>
        <w:spacing w:lineRule="auto" w:line="36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jc w:val="center"/>
        <w:rPr>
          <w:sz w:val="24"/>
          <w:szCs w:val="24"/>
        </w:rPr>
      </w:pPr>
      <w:r>
        <w:rPr>
          <w:rFonts w:eastAsia="Cambria" w:cs="Cambria" w:ascii="Cambria" w:hAnsi="Cambria"/>
          <w:b/>
          <w:sz w:val="24"/>
          <w:szCs w:val="24"/>
        </w:rPr>
        <w:t>XXXX</w:t>
      </w:r>
    </w:p>
    <w:p>
      <w:pPr>
        <w:pStyle w:val="Normal1"/>
        <w:spacing w:lineRule="auto" w:line="360"/>
        <w:jc w:val="center"/>
        <w:rPr>
          <w:sz w:val="24"/>
          <w:szCs w:val="24"/>
        </w:rPr>
      </w:pPr>
      <w:r>
        <w:rPr>
          <w:rFonts w:eastAsia="Cambria" w:cs="Cambria" w:ascii="Cambria" w:hAnsi="Cambria"/>
          <w:sz w:val="24"/>
          <w:szCs w:val="24"/>
        </w:rPr>
        <w:t>Promotor(a) Eleitoral</w:t>
      </w:r>
    </w:p>
    <w:p>
      <w:pPr>
        <w:pStyle w:val="Normal1"/>
        <w:spacing w:lineRule="auto" w:line="240" w:before="120" w:after="0"/>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240" w:before="120" w:after="0"/>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240" w:before="120" w:after="0"/>
        <w:jc w:val="both"/>
        <w:rPr>
          <w:sz w:val="24"/>
          <w:szCs w:val="24"/>
        </w:rPr>
      </w:pPr>
      <w:r>
        <w:rPr>
          <w:rFonts w:eastAsia="Cambria" w:cs="Cambria" w:ascii="Cambria" w:hAnsi="Cambria"/>
          <w:b/>
          <w:position w:val="0"/>
          <w:sz w:val="24"/>
          <w:sz w:val="24"/>
          <w:szCs w:val="24"/>
          <w:vertAlign w:val="baseline"/>
        </w:rPr>
        <w:t>Rol de documentos:</w:t>
      </w:r>
    </w:p>
    <w:p>
      <w:pPr>
        <w:pStyle w:val="Normal1"/>
        <w:spacing w:lineRule="auto" w:line="240" w:before="120" w:after="0"/>
        <w:jc w:val="both"/>
        <w:rPr>
          <w:sz w:val="24"/>
          <w:szCs w:val="24"/>
        </w:rPr>
      </w:pPr>
      <w:r>
        <w:rPr>
          <w:rFonts w:eastAsia="Cambria" w:cs="Cambria" w:ascii="Cambria" w:hAnsi="Cambria"/>
          <w:b/>
          <w:bCs/>
          <w:color w:val="000000"/>
          <w:position w:val="0"/>
          <w:sz w:val="24"/>
          <w:sz w:val="24"/>
          <w:szCs w:val="24"/>
          <w:vertAlign w:val="baseline"/>
        </w:rPr>
        <w:t xml:space="preserve">- Cópia integral da Prestação de contas nº </w:t>
      </w:r>
      <w:r>
        <w:rPr>
          <w:rFonts w:eastAsia="Cambria" w:cs="Cambria" w:ascii="Cambria" w:hAnsi="Cambria"/>
          <w:b/>
          <w:bCs/>
          <w:color w:val="000000"/>
          <w:position w:val="0"/>
          <w:sz w:val="24"/>
          <w:sz w:val="24"/>
          <w:szCs w:val="24"/>
          <w:highlight w:val="yellow"/>
          <w:vertAlign w:val="baseline"/>
        </w:rPr>
        <w:t>XXX</w:t>
      </w:r>
      <w:r>
        <w:rPr>
          <w:rFonts w:eastAsia="Cambria" w:cs="Cambria" w:ascii="Cambria" w:hAnsi="Cambria"/>
          <w:b/>
          <w:bCs/>
          <w:color w:val="000000"/>
          <w:position w:val="0"/>
          <w:sz w:val="24"/>
          <w:sz w:val="24"/>
          <w:szCs w:val="24"/>
          <w:vertAlign w:val="baseline"/>
        </w:rPr>
        <w:t>, que julgou não prestadas as contas do partido representado.</w:t>
      </w:r>
    </w:p>
    <w:sectPr>
      <w:headerReference w:type="default" r:id="rId4"/>
      <w:type w:val="nextPage"/>
      <w:pgSz w:w="11906" w:h="16838"/>
      <w:pgMar w:left="1701" w:right="1134" w:gutter="0" w:header="1259" w:top="3017" w:footer="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before="0" w:after="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rtal.stf.jus.br/processos/detalhe.asp?incidente=5565542" TargetMode="External"/><Relationship Id="rId3" Type="http://schemas.openxmlformats.org/officeDocument/2006/relationships/hyperlink" Target="https://portal.stf.jus.br/processos/detalhe.asp?incidente=5565542"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28</TotalTime>
  <Application>LibreOffice/7.2.6.2$Windows_X86_64 LibreOffice_project/b0ec3a565991f7569a5a7f5d24fed7f52653d754</Application>
  <AppVersion>15.0000</AppVersion>
  <Pages>8</Pages>
  <Words>2371</Words>
  <Characters>12888</Characters>
  <CharactersWithSpaces>15227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2023-06-10T17:04:05Z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