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FF8CC" w14:textId="77777777" w:rsidR="00DB2C43" w:rsidRDefault="00DB2C43" w:rsidP="00DB2C43">
      <w:pPr>
        <w:pStyle w:val="Jurisprudncias"/>
      </w:pPr>
      <w:r w:rsidRPr="00B429C3">
        <w:t>Guia de atuação do Ministério Público na fiscalização do processo de escolha do Conselho Tutelar</w:t>
      </w:r>
    </w:p>
    <w:p w14:paraId="54C88658" w14:textId="77777777" w:rsidR="00DB2C43" w:rsidRDefault="00DB2C43" w:rsidP="00DB2C43">
      <w:pPr>
        <w:pStyle w:val="Jurisprudncias"/>
      </w:pPr>
    </w:p>
    <w:p w14:paraId="2BD6CED0" w14:textId="57C100DD" w:rsidR="00DB2C43" w:rsidRPr="00B429C3" w:rsidRDefault="00DB2C43" w:rsidP="00DB2C43">
      <w:pPr>
        <w:pStyle w:val="Jurisprudncias"/>
      </w:pPr>
      <w:r w:rsidRPr="00B429C3">
        <w:t xml:space="preserve">Apêndice </w:t>
      </w:r>
      <w:r>
        <w:t>XI</w:t>
      </w:r>
      <w:r w:rsidRPr="00B429C3">
        <w:t xml:space="preserve"> – Minuta de </w:t>
      </w:r>
      <w:r w:rsidR="003418FB">
        <w:t>edital de publicação do resultado da votação</w:t>
      </w:r>
      <w:bookmarkStart w:id="0" w:name="_GoBack"/>
      <w:bookmarkEnd w:id="0"/>
    </w:p>
    <w:p w14:paraId="6AC8CA2A" w14:textId="77777777" w:rsidR="00DB2C43" w:rsidRPr="00B429C3" w:rsidRDefault="00DB2C43" w:rsidP="00DB2C43">
      <w:pPr>
        <w:pStyle w:val="Jurisprudncias"/>
      </w:pPr>
    </w:p>
    <w:p w14:paraId="3400ADD6" w14:textId="77777777" w:rsidR="00DB2C43" w:rsidRDefault="00DB2C43" w:rsidP="00DB2C43">
      <w:pPr>
        <w:pStyle w:val="Jurisprudncias"/>
      </w:pPr>
      <w:r w:rsidRPr="00B429C3">
        <w:t>Texto atualizado em 16/2/202</w:t>
      </w:r>
      <w:r>
        <w:t>3</w:t>
      </w:r>
      <w:r w:rsidRPr="00B429C3">
        <w:t xml:space="preserve"> pelo Grupo de Trabalho instituído </w:t>
      </w:r>
      <w:r>
        <w:t xml:space="preserve">no âmbito da Comissão da Infância, Juventude e Educação do Conselho Nacional do Ministério Público </w:t>
      </w:r>
      <w:r w:rsidRPr="00B429C3">
        <w:t>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</w:t>
      </w:r>
      <w:r>
        <w:t>.</w:t>
      </w:r>
    </w:p>
    <w:p w14:paraId="1919B8E5" w14:textId="77777777" w:rsidR="00DB2C43" w:rsidRDefault="00DB2C43" w:rsidP="00DB2C43">
      <w:pPr>
        <w:pStyle w:val="Jurisprudncias"/>
      </w:pPr>
    </w:p>
    <w:p w14:paraId="0AD6EDFB" w14:textId="77777777" w:rsidR="00DB2C43" w:rsidRPr="00B429C3" w:rsidRDefault="00DB2C43" w:rsidP="00DB2C43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8" w:history="1">
        <w:r w:rsidRPr="00DD6B0D"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0D24D51A" w14:textId="77777777" w:rsidR="00DB2C43" w:rsidRDefault="00DB2C43" w:rsidP="00286664">
      <w:pPr>
        <w:pStyle w:val="Ttulo2"/>
        <w:numPr>
          <w:ilvl w:val="0"/>
          <w:numId w:val="0"/>
        </w:numPr>
        <w:ind w:left="576" w:hanging="576"/>
      </w:pPr>
    </w:p>
    <w:p w14:paraId="27FC29E9" w14:textId="77777777" w:rsidR="00286664" w:rsidRPr="00674C99" w:rsidRDefault="00286664" w:rsidP="00286664">
      <w:pPr>
        <w:pStyle w:val="Ttulo2"/>
        <w:numPr>
          <w:ilvl w:val="0"/>
          <w:numId w:val="0"/>
        </w:numPr>
        <w:ind w:left="576" w:hanging="576"/>
      </w:pPr>
      <w:r w:rsidRPr="00674C99">
        <w:t>Publicação do resultado da votação</w:t>
      </w:r>
    </w:p>
    <w:p w14:paraId="0FE0A930" w14:textId="77777777" w:rsidR="00286664" w:rsidRPr="00674C99" w:rsidRDefault="00286664" w:rsidP="00286664">
      <w:pPr>
        <w:pStyle w:val="Jurisprudncias"/>
      </w:pPr>
    </w:p>
    <w:p w14:paraId="38C74C3D" w14:textId="77777777" w:rsidR="00286664" w:rsidRPr="00674C99" w:rsidRDefault="00286664" w:rsidP="00286664">
      <w:pPr>
        <w:pStyle w:val="Jurisprudncias"/>
        <w:rPr>
          <w:b/>
          <w:bCs/>
        </w:rPr>
      </w:pPr>
      <w:r w:rsidRPr="00674C99">
        <w:rPr>
          <w:b/>
          <w:bCs/>
        </w:rPr>
        <w:t>Edital n. XXX/XXXX</w:t>
      </w:r>
    </w:p>
    <w:p w14:paraId="50C483AB" w14:textId="77777777" w:rsidR="00286664" w:rsidRPr="00674C99" w:rsidRDefault="00286664" w:rsidP="00286664">
      <w:pPr>
        <w:pStyle w:val="Jurisprudncias"/>
      </w:pPr>
    </w:p>
    <w:p w14:paraId="1DFC2A37" w14:textId="24EE0496" w:rsidR="00286664" w:rsidRPr="00674C99" w:rsidRDefault="00286664" w:rsidP="00286664">
      <w:pPr>
        <w:pStyle w:val="Jurisprudncias"/>
      </w:pPr>
      <w:r w:rsidRPr="00674C99">
        <w:t>A Comissão Especial</w:t>
      </w:r>
      <w:r>
        <w:t xml:space="preserve"> </w:t>
      </w:r>
      <w:r w:rsidRPr="00674C99">
        <w:t xml:space="preserve">para o processo de escolha dos membros do Conselho Tutelar, constituída pelo Conselho Municipal dos Direitos da Criança e do Adolescente do Município de </w:t>
      </w:r>
      <w:r w:rsidRPr="00DB2C43">
        <w:rPr>
          <w:color w:val="FF0000"/>
        </w:rPr>
        <w:t>(nome do Município)</w:t>
      </w:r>
      <w:r w:rsidRPr="00674C99">
        <w:t xml:space="preserve">, na forma da Resolução n. </w:t>
      </w:r>
      <w:r w:rsidRPr="00DB2C43">
        <w:rPr>
          <w:color w:val="FF0000"/>
        </w:rPr>
        <w:t>XX/XXXX</w:t>
      </w:r>
      <w:r w:rsidRPr="00674C99">
        <w:t xml:space="preserve">, torna público o resultado da eleição dos membros do Conselho Tutelar do </w:t>
      </w:r>
      <w:r>
        <w:t>M</w:t>
      </w:r>
      <w:r w:rsidRPr="00674C99">
        <w:t xml:space="preserve">unicípio de </w:t>
      </w:r>
      <w:r w:rsidRPr="00DB2C43">
        <w:rPr>
          <w:color w:val="FF0000"/>
        </w:rPr>
        <w:t>XXXXXX</w:t>
      </w:r>
      <w:r w:rsidRPr="00674C99">
        <w:t xml:space="preserve">, realizada no dia </w:t>
      </w:r>
      <w:r w:rsidR="00CC638B">
        <w:t>1º de outubro de 2023</w:t>
      </w:r>
      <w:r w:rsidRPr="00674C99">
        <w:t>.</w:t>
      </w:r>
    </w:p>
    <w:p w14:paraId="6DEC3374" w14:textId="77777777" w:rsidR="00286664" w:rsidRPr="00674C99" w:rsidRDefault="00286664" w:rsidP="00286664">
      <w:pPr>
        <w:pStyle w:val="Jurisprudncias"/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623"/>
        <w:gridCol w:w="3190"/>
        <w:gridCol w:w="1983"/>
        <w:gridCol w:w="1698"/>
      </w:tblGrid>
      <w:tr w:rsidR="00286664" w:rsidRPr="00674C99" w14:paraId="339154E3" w14:textId="77777777" w:rsidTr="00CE04DF">
        <w:tc>
          <w:tcPr>
            <w:tcW w:w="8493" w:type="dxa"/>
            <w:gridSpan w:val="4"/>
            <w:shd w:val="solid" w:color="auto" w:fill="auto"/>
          </w:tcPr>
          <w:p w14:paraId="197EE12E" w14:textId="77777777" w:rsidR="00286664" w:rsidRPr="00674C99" w:rsidRDefault="00286664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Titulares</w:t>
            </w:r>
          </w:p>
        </w:tc>
      </w:tr>
      <w:tr w:rsidR="00286664" w:rsidRPr="00674C99" w14:paraId="4A7E06D1" w14:textId="77777777" w:rsidTr="00CE04DF">
        <w:tc>
          <w:tcPr>
            <w:tcW w:w="1621" w:type="dxa"/>
            <w:shd w:val="pct10" w:color="auto" w:fill="auto"/>
          </w:tcPr>
          <w:p w14:paraId="697264A0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Classificação</w:t>
            </w:r>
          </w:p>
        </w:tc>
        <w:tc>
          <w:tcPr>
            <w:tcW w:w="3191" w:type="dxa"/>
            <w:shd w:val="pct10" w:color="auto" w:fill="auto"/>
          </w:tcPr>
          <w:p w14:paraId="648B37FF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Nome do Candidato</w:t>
            </w:r>
          </w:p>
        </w:tc>
        <w:tc>
          <w:tcPr>
            <w:tcW w:w="1983" w:type="dxa"/>
            <w:shd w:val="pct10" w:color="auto" w:fill="auto"/>
          </w:tcPr>
          <w:p w14:paraId="4BF024BA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N. do candidato</w:t>
            </w:r>
          </w:p>
        </w:tc>
        <w:tc>
          <w:tcPr>
            <w:tcW w:w="1698" w:type="dxa"/>
            <w:shd w:val="pct10" w:color="auto" w:fill="auto"/>
          </w:tcPr>
          <w:p w14:paraId="56BDCD69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Total de votos</w:t>
            </w:r>
          </w:p>
        </w:tc>
      </w:tr>
      <w:tr w:rsidR="00286664" w:rsidRPr="00674C99" w14:paraId="3ECE6780" w14:textId="77777777" w:rsidTr="00CE04DF">
        <w:tc>
          <w:tcPr>
            <w:tcW w:w="1621" w:type="dxa"/>
            <w:shd w:val="clear" w:color="auto" w:fill="auto"/>
          </w:tcPr>
          <w:p w14:paraId="5FD85950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1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09E746A8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88E406D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544A3B36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6B53BE99" w14:textId="77777777" w:rsidTr="00CE04DF">
        <w:tc>
          <w:tcPr>
            <w:tcW w:w="1621" w:type="dxa"/>
            <w:shd w:val="clear" w:color="auto" w:fill="auto"/>
          </w:tcPr>
          <w:p w14:paraId="0F656E06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2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413A8B76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E04F8F1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1FCF35E8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1A90DB50" w14:textId="77777777" w:rsidTr="00CE04DF">
        <w:tc>
          <w:tcPr>
            <w:tcW w:w="1621" w:type="dxa"/>
            <w:shd w:val="clear" w:color="auto" w:fill="auto"/>
          </w:tcPr>
          <w:p w14:paraId="06C3F211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3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262A1AAB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84DD735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1D45D1DD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2D2F56E3" w14:textId="77777777" w:rsidTr="00CE04DF">
        <w:tc>
          <w:tcPr>
            <w:tcW w:w="1621" w:type="dxa"/>
            <w:shd w:val="clear" w:color="auto" w:fill="auto"/>
          </w:tcPr>
          <w:p w14:paraId="423A3F3D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4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4F98E352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55AAAA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6C81087B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2DE8F087" w14:textId="77777777" w:rsidTr="00CE04DF">
        <w:tc>
          <w:tcPr>
            <w:tcW w:w="1621" w:type="dxa"/>
            <w:shd w:val="clear" w:color="auto" w:fill="auto"/>
          </w:tcPr>
          <w:p w14:paraId="0C251437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5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05853BFB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35AAFEC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291BE33A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72371B2E" w14:textId="77777777" w:rsidTr="00CE04DF">
        <w:tc>
          <w:tcPr>
            <w:tcW w:w="8493" w:type="dxa"/>
            <w:gridSpan w:val="4"/>
            <w:shd w:val="solid" w:color="auto" w:fill="auto"/>
          </w:tcPr>
          <w:p w14:paraId="5C603752" w14:textId="14FEEA21" w:rsidR="00286664" w:rsidRPr="00674C99" w:rsidRDefault="00286664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Suplentes</w:t>
            </w:r>
            <w:r w:rsidR="005D76D9">
              <w:rPr>
                <w:rStyle w:val="Refdenotaderodap"/>
                <w:rFonts w:cs="Arial"/>
                <w:b/>
                <w:bCs/>
                <w:szCs w:val="24"/>
              </w:rPr>
              <w:footnoteReference w:id="1"/>
            </w:r>
          </w:p>
        </w:tc>
      </w:tr>
      <w:tr w:rsidR="00286664" w:rsidRPr="00674C99" w14:paraId="44EF865C" w14:textId="77777777" w:rsidTr="00CE04DF">
        <w:tc>
          <w:tcPr>
            <w:tcW w:w="1621" w:type="dxa"/>
            <w:shd w:val="pct10" w:color="auto" w:fill="auto"/>
          </w:tcPr>
          <w:p w14:paraId="471A9E1C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Classificação</w:t>
            </w:r>
          </w:p>
        </w:tc>
        <w:tc>
          <w:tcPr>
            <w:tcW w:w="3191" w:type="dxa"/>
            <w:shd w:val="pct10" w:color="auto" w:fill="auto"/>
          </w:tcPr>
          <w:p w14:paraId="63306F50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Nome do Candidato</w:t>
            </w:r>
          </w:p>
        </w:tc>
        <w:tc>
          <w:tcPr>
            <w:tcW w:w="1983" w:type="dxa"/>
            <w:shd w:val="pct10" w:color="auto" w:fill="auto"/>
          </w:tcPr>
          <w:p w14:paraId="542B336B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N. do candidato</w:t>
            </w:r>
          </w:p>
        </w:tc>
        <w:tc>
          <w:tcPr>
            <w:tcW w:w="1698" w:type="dxa"/>
            <w:shd w:val="pct10" w:color="auto" w:fill="auto"/>
          </w:tcPr>
          <w:p w14:paraId="1860642B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Total de votos</w:t>
            </w:r>
          </w:p>
        </w:tc>
      </w:tr>
      <w:tr w:rsidR="00286664" w:rsidRPr="00674C99" w14:paraId="42AFAF97" w14:textId="77777777" w:rsidTr="00CE04DF">
        <w:tc>
          <w:tcPr>
            <w:tcW w:w="1621" w:type="dxa"/>
            <w:shd w:val="clear" w:color="auto" w:fill="auto"/>
          </w:tcPr>
          <w:p w14:paraId="34024EDD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6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57984D26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8D494FB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5E64236B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53273B2D" w14:textId="77777777" w:rsidTr="00CE04DF">
        <w:tc>
          <w:tcPr>
            <w:tcW w:w="1621" w:type="dxa"/>
            <w:shd w:val="clear" w:color="auto" w:fill="auto"/>
          </w:tcPr>
          <w:p w14:paraId="68F00706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7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5B4A62D8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FBEE75D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69BEAE07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7A329E46" w14:textId="77777777" w:rsidTr="00CE04DF">
        <w:tc>
          <w:tcPr>
            <w:tcW w:w="1621" w:type="dxa"/>
            <w:shd w:val="clear" w:color="auto" w:fill="auto"/>
          </w:tcPr>
          <w:p w14:paraId="2316181F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8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21A830E2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C681CDA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5127AD5D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72B152DA" w14:textId="77777777" w:rsidTr="00CE04DF">
        <w:tc>
          <w:tcPr>
            <w:tcW w:w="1621" w:type="dxa"/>
            <w:shd w:val="clear" w:color="auto" w:fill="auto"/>
          </w:tcPr>
          <w:p w14:paraId="02EEED4D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9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23125ED8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2CD3CF8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66A8BEEC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286664" w:rsidRPr="00674C99" w14:paraId="399EC3EE" w14:textId="77777777" w:rsidTr="00CE04DF">
        <w:tc>
          <w:tcPr>
            <w:tcW w:w="1621" w:type="dxa"/>
            <w:shd w:val="clear" w:color="auto" w:fill="auto"/>
          </w:tcPr>
          <w:p w14:paraId="17C45D59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10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633DE563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89600CC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0DA9794A" w14:textId="77777777" w:rsidR="00286664" w:rsidRPr="00674C99" w:rsidRDefault="0028666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D76D9" w:rsidRPr="00674C99" w14:paraId="3BEC2671" w14:textId="77777777" w:rsidTr="00CE04DF">
        <w:tc>
          <w:tcPr>
            <w:tcW w:w="1621" w:type="dxa"/>
            <w:shd w:val="clear" w:color="auto" w:fill="auto"/>
          </w:tcPr>
          <w:p w14:paraId="48657BFF" w14:textId="18A3C92B" w:rsidR="005D76D9" w:rsidRPr="00674C99" w:rsidRDefault="005D76D9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11º</w:t>
            </w:r>
          </w:p>
        </w:tc>
        <w:tc>
          <w:tcPr>
            <w:tcW w:w="3191" w:type="dxa"/>
            <w:shd w:val="clear" w:color="auto" w:fill="auto"/>
          </w:tcPr>
          <w:p w14:paraId="7852C47E" w14:textId="77777777" w:rsidR="005D76D9" w:rsidRPr="00674C99" w:rsidRDefault="005D76D9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A491454" w14:textId="77777777" w:rsidR="005D76D9" w:rsidRPr="00674C99" w:rsidRDefault="005D76D9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009DAC6B" w14:textId="77777777" w:rsidR="005D76D9" w:rsidRPr="00674C99" w:rsidRDefault="005D76D9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D76D9" w:rsidRPr="00674C99" w14:paraId="368AA745" w14:textId="77777777" w:rsidTr="00CE04DF">
        <w:tc>
          <w:tcPr>
            <w:tcW w:w="1621" w:type="dxa"/>
            <w:shd w:val="clear" w:color="auto" w:fill="auto"/>
          </w:tcPr>
          <w:p w14:paraId="6428DD41" w14:textId="3FEE0AE2" w:rsidR="005D76D9" w:rsidRDefault="005D76D9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12º</w:t>
            </w:r>
          </w:p>
        </w:tc>
        <w:tc>
          <w:tcPr>
            <w:tcW w:w="3191" w:type="dxa"/>
            <w:shd w:val="clear" w:color="auto" w:fill="auto"/>
          </w:tcPr>
          <w:p w14:paraId="0EBCE3E7" w14:textId="77777777" w:rsidR="005D76D9" w:rsidRPr="00674C99" w:rsidRDefault="005D76D9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F7FCDDC" w14:textId="77777777" w:rsidR="005D76D9" w:rsidRPr="00674C99" w:rsidRDefault="005D76D9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650972EC" w14:textId="77777777" w:rsidR="005D76D9" w:rsidRPr="00674C99" w:rsidRDefault="005D76D9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</w:tbl>
    <w:p w14:paraId="1ACF5635" w14:textId="77777777" w:rsidR="00286664" w:rsidRPr="00674C99" w:rsidRDefault="00286664" w:rsidP="00286664">
      <w:pPr>
        <w:pStyle w:val="Jurisprudncias"/>
      </w:pPr>
    </w:p>
    <w:p w14:paraId="1F2AF371" w14:textId="77777777" w:rsidR="00286664" w:rsidRPr="00674C99" w:rsidRDefault="00286664" w:rsidP="00286664">
      <w:pPr>
        <w:pStyle w:val="Jurisprudncias"/>
      </w:pPr>
      <w:r w:rsidRPr="00674C99">
        <w:lastRenderedPageBreak/>
        <w:t xml:space="preserve">Fica aberto o prazo de </w:t>
      </w:r>
      <w:r w:rsidRPr="00DB2C43">
        <w:rPr>
          <w:color w:val="FF0000"/>
        </w:rPr>
        <w:t>(número)</w:t>
      </w:r>
      <w:r w:rsidRPr="00674C99">
        <w:t xml:space="preserve"> dias, a contar da publicação do presente Edital, para que sejam apresentados recursos contra o resultado publicado, na forma prevista no item </w:t>
      </w:r>
      <w:r w:rsidRPr="00DB2C43">
        <w:rPr>
          <w:color w:val="FF0000"/>
        </w:rPr>
        <w:t>XX</w:t>
      </w:r>
      <w:r w:rsidRPr="00674C99">
        <w:t xml:space="preserve"> da Resolução n. </w:t>
      </w:r>
      <w:r w:rsidRPr="00DB2C43">
        <w:rPr>
          <w:color w:val="FF0000"/>
        </w:rPr>
        <w:t>(número/ano).</w:t>
      </w:r>
    </w:p>
    <w:p w14:paraId="4DC9F4C4" w14:textId="77777777" w:rsidR="00286664" w:rsidRPr="00674C99" w:rsidRDefault="00286664" w:rsidP="00286664">
      <w:pPr>
        <w:pStyle w:val="Jurisprudncias"/>
      </w:pPr>
    </w:p>
    <w:p w14:paraId="57BFDE51" w14:textId="77777777" w:rsidR="00286664" w:rsidRPr="00674C99" w:rsidRDefault="00286664" w:rsidP="00286664">
      <w:pPr>
        <w:pStyle w:val="Jurisprudncias"/>
      </w:pPr>
      <w:r w:rsidRPr="00674C99">
        <w:t>A homologação final do resultado da eleição dar-se-á após a análise dos recursos apresentados no prazo legal.</w:t>
      </w:r>
    </w:p>
    <w:p w14:paraId="76C09E77" w14:textId="77777777" w:rsidR="00286664" w:rsidRPr="00674C99" w:rsidRDefault="00286664" w:rsidP="00286664">
      <w:pPr>
        <w:pStyle w:val="Jurisprudncias"/>
      </w:pPr>
    </w:p>
    <w:p w14:paraId="568C41A7" w14:textId="77777777" w:rsidR="00286664" w:rsidRPr="00674C99" w:rsidRDefault="00286664" w:rsidP="00286664">
      <w:pPr>
        <w:pStyle w:val="Jurisprudncias"/>
        <w:jc w:val="right"/>
      </w:pPr>
      <w:r w:rsidRPr="00674C99">
        <w:t>(Cidade), (dia) de (mês) de (ano)</w:t>
      </w:r>
      <w:r>
        <w:t>.</w:t>
      </w:r>
    </w:p>
    <w:p w14:paraId="5DBF7869" w14:textId="77777777" w:rsidR="00286664" w:rsidRPr="00674C99" w:rsidRDefault="00286664" w:rsidP="00286664">
      <w:pPr>
        <w:pStyle w:val="Jurisprudncias"/>
      </w:pPr>
    </w:p>
    <w:p w14:paraId="157B3EB2" w14:textId="77777777" w:rsidR="00286664" w:rsidRPr="00674C99" w:rsidRDefault="00286664" w:rsidP="00286664">
      <w:pPr>
        <w:pStyle w:val="Jurisprudncias"/>
      </w:pPr>
    </w:p>
    <w:p w14:paraId="3420F161" w14:textId="77777777" w:rsidR="00286664" w:rsidRPr="00674C99" w:rsidRDefault="00286664" w:rsidP="00286664">
      <w:pPr>
        <w:pStyle w:val="Jurisprudncias"/>
        <w:jc w:val="center"/>
      </w:pPr>
      <w:r w:rsidRPr="00674C99">
        <w:t>(nome e assinatura)</w:t>
      </w:r>
    </w:p>
    <w:p w14:paraId="5132DE6E" w14:textId="70DFEB08" w:rsidR="002B7ADD" w:rsidRDefault="00DB2C43" w:rsidP="00286664">
      <w:pPr>
        <w:pStyle w:val="Jurisprudncias"/>
        <w:jc w:val="center"/>
      </w:pPr>
      <w:r>
        <w:t>Coordenador</w:t>
      </w:r>
      <w:r w:rsidR="00286664" w:rsidRPr="00674C99">
        <w:t xml:space="preserve"> da Comissão Especial</w:t>
      </w:r>
    </w:p>
    <w:sectPr w:rsidR="002B7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F0069" w14:textId="77777777" w:rsidR="005072ED" w:rsidRDefault="005072ED" w:rsidP="005D76D9">
      <w:pPr>
        <w:spacing w:line="240" w:lineRule="auto"/>
      </w:pPr>
      <w:r>
        <w:separator/>
      </w:r>
    </w:p>
  </w:endnote>
  <w:endnote w:type="continuationSeparator" w:id="0">
    <w:p w14:paraId="2D751498" w14:textId="77777777" w:rsidR="005072ED" w:rsidRDefault="005072ED" w:rsidP="005D7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9FBE7" w14:textId="77777777" w:rsidR="005072ED" w:rsidRDefault="005072ED" w:rsidP="005D76D9">
      <w:pPr>
        <w:spacing w:line="240" w:lineRule="auto"/>
      </w:pPr>
      <w:r>
        <w:separator/>
      </w:r>
    </w:p>
  </w:footnote>
  <w:footnote w:type="continuationSeparator" w:id="0">
    <w:p w14:paraId="387F3A6D" w14:textId="77777777" w:rsidR="005072ED" w:rsidRDefault="005072ED" w:rsidP="005D76D9">
      <w:pPr>
        <w:spacing w:line="240" w:lineRule="auto"/>
      </w:pPr>
      <w:r>
        <w:continuationSeparator/>
      </w:r>
    </w:p>
  </w:footnote>
  <w:footnote w:id="1">
    <w:p w14:paraId="1268BEFF" w14:textId="2E592CF4" w:rsidR="005D76D9" w:rsidRDefault="005D76D9" w:rsidP="00DB2C43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Inserir, na ordem de votação, todos os candidatos habilitados e o seu total de votos, uma vez que todos são considerados suplentes, não apenas os 5 mais bem votados depois dos 5 eleitos.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64"/>
    <w:rsid w:val="000A4A05"/>
    <w:rsid w:val="00286664"/>
    <w:rsid w:val="002B7ADD"/>
    <w:rsid w:val="003418FB"/>
    <w:rsid w:val="005072ED"/>
    <w:rsid w:val="005D76D9"/>
    <w:rsid w:val="007F2F4A"/>
    <w:rsid w:val="0089003C"/>
    <w:rsid w:val="009741D0"/>
    <w:rsid w:val="00CC638B"/>
    <w:rsid w:val="00D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45A4"/>
  <w15:chartTrackingRefBased/>
  <w15:docId w15:val="{8308D374-DBB1-40DF-A90F-185AE91F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OV - texto"/>
    <w:link w:val="CAMOV-textoChar"/>
    <w:qFormat/>
    <w:rsid w:val="00286664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86664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6664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6664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666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666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666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66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666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666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86664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86664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86664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666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666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6664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6664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66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66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59"/>
    <w:rsid w:val="00286664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286664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286664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76D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76D9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6D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B2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mp.mp.br/portal/institucional/comissoes/comissao-da-infancia-e-juventude/grupos-de-trabalho/conselho-tute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55E53-C1DE-47E7-96B1-15ACFF1C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1728</Characters>
  <Application>Microsoft Office Word</Application>
  <DocSecurity>0</DocSecurity>
  <Lines>14</Lines>
  <Paragraphs>4</Paragraphs>
  <ScaleCrop>false</ScaleCrop>
  <Company>Ministerio Publico de Santa Catarina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João Luiz de Carvalho Botega</cp:lastModifiedBy>
  <cp:revision>5</cp:revision>
  <dcterms:created xsi:type="dcterms:W3CDTF">2023-01-12T20:36:00Z</dcterms:created>
  <dcterms:modified xsi:type="dcterms:W3CDTF">2023-02-17T19:50:00Z</dcterms:modified>
</cp:coreProperties>
</file>