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GO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Trata-se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PEDIDO</w:t>
      </w:r>
      <w:r>
        <w:rPr>
          <w:rFonts w:eastAsia="Gentium Basic" w:cs="Cambria" w:ascii="Cambria" w:hAnsi="Cambria"/>
          <w:b/>
          <w:bCs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DE</w:t>
      </w:r>
      <w:r>
        <w:rPr>
          <w:rFonts w:eastAsia="Gentium Basic" w:cs="Cambria" w:ascii="Cambria" w:hAnsi="Cambria"/>
          <w:b/>
          <w:bCs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REGISTRO</w:t>
      </w:r>
      <w:r>
        <w:rPr>
          <w:rFonts w:eastAsia="Gentium Basic" w:cs="Cambria" w:ascii="Cambria" w:hAnsi="Cambria"/>
          <w:b/>
          <w:bCs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DE</w:t>
      </w:r>
      <w:r>
        <w:rPr>
          <w:rFonts w:eastAsia="Gentium Basic" w:cs="Cambria" w:ascii="Cambria" w:hAnsi="Cambria"/>
          <w:b/>
          <w:bCs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CANDIDATURA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apresentado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pela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acima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especificada,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visando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concorrer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próximas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eleições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cargo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sz w:val="24"/>
          <w:szCs w:val="24"/>
        </w:rPr>
        <w:t>VEREADOR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 xml:space="preserve">pela </w:t>
      </w:r>
      <w:r>
        <w:rPr>
          <w:rFonts w:eastAsia="Gentium Basic" w:cs="Cambria" w:ascii="Cambria" w:hAnsi="Cambria"/>
          <w:b/>
          <w:bCs/>
          <w:sz w:val="24"/>
          <w:szCs w:val="24"/>
        </w:rPr>
        <w:t>COLIGAÇÃO ______</w:t>
      </w:r>
      <w:r>
        <w:rPr>
          <w:rFonts w:cs="Cambria" w:ascii="Cambria" w:hAnsi="Cambria"/>
          <w:sz w:val="24"/>
          <w:szCs w:val="24"/>
        </w:rPr>
        <w:t>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Century Gothic" w:cs="Cambria" w:ascii="Cambria" w:hAnsi="Cambria"/>
          <w:sz w:val="24"/>
          <w:szCs w:val="24"/>
        </w:rPr>
        <w:t>Juntou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todos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documentos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exigidos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atendeu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todos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requisitos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estipulados</w:t>
      </w:r>
      <w:r>
        <w:rPr>
          <w:rFonts w:eastAsia="Gentium Basic" w:cs="Cambria" w:ascii="Cambria" w:hAnsi="Cambria"/>
          <w:sz w:val="24"/>
          <w:szCs w:val="24"/>
        </w:rPr>
        <w:t xml:space="preserve"> em lei</w:t>
      </w:r>
      <w:r>
        <w:rPr>
          <w:rFonts w:eastAsia="Century Gothic" w:cs="Cambria" w:ascii="Cambria" w:hAnsi="Cambria"/>
          <w:sz w:val="24"/>
          <w:szCs w:val="24"/>
        </w:rPr>
        <w:t>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edital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foi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devidamente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publicado.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Após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decurso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prazo,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consta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certidão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narrando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que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não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houve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impugnação.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Processo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devidamente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inst</w:t>
      </w:r>
      <w:r>
        <w:rPr>
          <w:rFonts w:eastAsia="Century Gothic" w:cs="Cambria" w:ascii="Cambria" w:hAnsi="Cambria"/>
          <w:color w:val="000000"/>
          <w:sz w:val="24"/>
          <w:szCs w:val="24"/>
        </w:rPr>
        <w:t>ruído,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inclusive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com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a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necessidade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atendimento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a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diligências,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estas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feitas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no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prazo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72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Century Gothic" w:cs="Cambria" w:ascii="Cambria" w:hAnsi="Cambria"/>
          <w:color w:val="000000"/>
          <w:sz w:val="24"/>
          <w:szCs w:val="24"/>
        </w:rPr>
        <w:t>horas.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b/>
          <w:i w:val="false"/>
          <w:iCs w:val="false"/>
          <w:sz w:val="24"/>
          <w:szCs w:val="24"/>
        </w:rPr>
        <w:t>É</w:t>
      </w:r>
      <w:r>
        <w:rPr>
          <w:rFonts w:eastAsia="Gentium Basic" w:cs="Cambria" w:ascii="Cambria" w:hAnsi="Cambria"/>
          <w:b/>
          <w:i w:val="false"/>
          <w:iCs w:val="false"/>
          <w:sz w:val="24"/>
          <w:szCs w:val="24"/>
        </w:rPr>
        <w:t xml:space="preserve"> </w:t>
      </w:r>
      <w:r>
        <w:rPr>
          <w:rFonts w:cs="Cambria" w:ascii="Cambria" w:hAnsi="Cambria"/>
          <w:b/>
          <w:i w:val="false"/>
          <w:iCs w:val="false"/>
          <w:sz w:val="24"/>
          <w:szCs w:val="24"/>
        </w:rPr>
        <w:t>o</w:t>
      </w:r>
      <w:r>
        <w:rPr>
          <w:rFonts w:eastAsia="Gentium Basic" w:cs="Cambria" w:ascii="Cambria" w:hAnsi="Cambria"/>
          <w:b/>
          <w:i w:val="false"/>
          <w:iCs w:val="false"/>
          <w:sz w:val="24"/>
          <w:szCs w:val="24"/>
        </w:rPr>
        <w:t xml:space="preserve"> </w:t>
      </w:r>
      <w:r>
        <w:rPr>
          <w:rFonts w:cs="Cambria" w:ascii="Cambria" w:hAnsi="Cambria"/>
          <w:b/>
          <w:i w:val="false"/>
          <w:iCs w:val="false"/>
          <w:sz w:val="24"/>
          <w:szCs w:val="24"/>
        </w:rPr>
        <w:t>que</w:t>
      </w:r>
      <w:r>
        <w:rPr>
          <w:rFonts w:eastAsia="Gentium Basic" w:cs="Cambria" w:ascii="Cambria" w:hAnsi="Cambria"/>
          <w:b/>
          <w:i w:val="false"/>
          <w:iCs w:val="false"/>
          <w:sz w:val="24"/>
          <w:szCs w:val="24"/>
        </w:rPr>
        <w:t xml:space="preserve"> </w:t>
      </w:r>
      <w:r>
        <w:rPr>
          <w:rFonts w:cs="Cambria" w:ascii="Cambria" w:hAnsi="Cambria"/>
          <w:b/>
          <w:i w:val="false"/>
          <w:iCs w:val="false"/>
          <w:sz w:val="24"/>
          <w:szCs w:val="24"/>
        </w:rPr>
        <w:t>tinha</w:t>
      </w:r>
      <w:r>
        <w:rPr>
          <w:rFonts w:eastAsia="Gentium Basic" w:cs="Cambria" w:ascii="Cambria" w:hAnsi="Cambria"/>
          <w:b/>
          <w:i w:val="false"/>
          <w:iCs w:val="false"/>
          <w:sz w:val="24"/>
          <w:szCs w:val="24"/>
        </w:rPr>
        <w:t xml:space="preserve"> </w:t>
      </w:r>
      <w:r>
        <w:rPr>
          <w:rFonts w:cs="Cambria" w:ascii="Cambria" w:hAnsi="Cambria"/>
          <w:b/>
          <w:i w:val="false"/>
          <w:iCs w:val="false"/>
          <w:sz w:val="24"/>
          <w:szCs w:val="24"/>
        </w:rPr>
        <w:t>a</w:t>
      </w:r>
      <w:r>
        <w:rPr>
          <w:rFonts w:eastAsia="Gentium Basic" w:cs="Cambria" w:ascii="Cambria" w:hAnsi="Cambria"/>
          <w:b/>
          <w:i w:val="false"/>
          <w:iCs w:val="false"/>
          <w:sz w:val="24"/>
          <w:szCs w:val="24"/>
        </w:rPr>
        <w:t xml:space="preserve"> </w:t>
      </w:r>
      <w:r>
        <w:rPr>
          <w:rFonts w:cs="Cambria" w:ascii="Cambria" w:hAnsi="Cambria"/>
          <w:b/>
          <w:i w:val="false"/>
          <w:iCs w:val="false"/>
          <w:sz w:val="24"/>
          <w:szCs w:val="24"/>
        </w:rPr>
        <w:t>relatar</w:t>
      </w:r>
      <w:r>
        <w:rPr>
          <w:rFonts w:cs="Cambria" w:ascii="Cambria" w:hAnsi="Cambria"/>
          <w:i w:val="false"/>
          <w:iCs w:val="false"/>
          <w:sz w:val="24"/>
          <w:szCs w:val="24"/>
        </w:rPr>
        <w:t>.</w:t>
      </w:r>
      <w:r>
        <w:rPr>
          <w:rFonts w:eastAsia="Gentium Basic" w:cs="Cambria" w:ascii="Cambria" w:hAnsi="Cambria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Estabelecem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arts.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16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59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Resolução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nº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23.609/2019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todo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modus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faciendi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pedido,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processamento,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impugnação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julgamento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registro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candidatura no Juízo de primeiro grau.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§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3º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14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Constituição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Federal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estabelece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condições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uma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vez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atendidas,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concede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requerente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possibilidade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candidatar-se,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quais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sejam,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nacionalidade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brasileira;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pleno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exercício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direitos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políticos;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alistamento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eleitoral;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domicílio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eleitoral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circunscrição;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filiação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partidária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idade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mínima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vinte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um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Prefeito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Vice-Prefeito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dezoito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anos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Vereador.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outra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banda,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veio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Lei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nº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9.096,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19/09/1995,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dispor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acerca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partidos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políticos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regulamentar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artigos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14,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§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3º,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inciso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V,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17,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ambos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Constituição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Federal.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Os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arts.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16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22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dessa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Norma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trazem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condições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para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filiação,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estabelecendo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que: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a)</w:t>
      </w:r>
      <w:r>
        <w:rPr>
          <w:rFonts w:eastAsia="Gentium Basic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só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deverá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ser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filiado,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quem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estiver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no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gozo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dos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seus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direitos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políticos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b/>
          <w:sz w:val="24"/>
          <w:szCs w:val="24"/>
        </w:rPr>
        <w:t>b)</w:t>
      </w:r>
      <w:r>
        <w:rPr>
          <w:rFonts w:eastAsia="Gentium Basic" w:cs="Cambria" w:ascii="Cambria" w:hAnsi="Cambria"/>
          <w:b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observância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às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normas</w:t>
      </w:r>
      <w:r>
        <w:rPr>
          <w:rFonts w:eastAsia="Gentium Basic" w:cs="Cambria" w:ascii="Cambria" w:hAnsi="Cambria"/>
          <w:i/>
          <w:sz w:val="24"/>
          <w:szCs w:val="24"/>
        </w:rPr>
        <w:t xml:space="preserve"> </w:t>
      </w:r>
      <w:r>
        <w:rPr>
          <w:rFonts w:cs="Cambria" w:ascii="Cambria" w:hAnsi="Cambria"/>
          <w:i/>
          <w:sz w:val="24"/>
          <w:szCs w:val="24"/>
        </w:rPr>
        <w:t>estatutárias.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Observo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que,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presente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caso,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patentes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encontram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condições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elegibilidade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(art.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14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CF)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ausentes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se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encontram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causas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inelegibilidade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(art.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1º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LC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64/90),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pois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no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didático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ensinamento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de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Adriano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Soares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da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sz w:val="24"/>
          <w:szCs w:val="24"/>
        </w:rPr>
        <w:t>Costa</w:t>
      </w:r>
      <w:r>
        <w:rPr>
          <w:rStyle w:val="Ncoradanotaderodap"/>
          <w:rFonts w:eastAsia="Gentium Basic" w:cs="Cambria" w:ascii="Cambria" w:hAnsi="Cambria"/>
          <w:sz w:val="24"/>
          <w:szCs w:val="24"/>
        </w:rPr>
        <w:footnoteReference w:id="2"/>
      </w:r>
      <w:r>
        <w:rPr>
          <w:rFonts w:eastAsia="Century Gothic" w:cs="Cambria" w:ascii="Cambria" w:hAnsi="Cambria"/>
          <w:sz w:val="24"/>
          <w:szCs w:val="24"/>
        </w:rPr>
        <w:t>,</w:t>
      </w:r>
      <w:r>
        <w:rPr>
          <w:rFonts w:eastAsia="Gentium Basic" w:cs="Cambria" w:ascii="Cambria" w:hAnsi="Cambria"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in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verbis</w:t>
      </w:r>
      <w:r>
        <w:rPr>
          <w:rFonts w:eastAsia="Century Gothic" w:cs="Cambria" w:ascii="Cambria" w:hAnsi="Cambria"/>
          <w:sz w:val="24"/>
          <w:szCs w:val="24"/>
        </w:rPr>
        <w:t>:</w:t>
      </w:r>
      <w:r>
        <w:rPr>
          <w:rFonts w:eastAsia="Gentium Basic" w:cs="Cambria" w:ascii="Cambria" w:hAnsi="Cambria"/>
          <w:sz w:val="24"/>
          <w:szCs w:val="24"/>
        </w:rPr>
        <w:t xml:space="preserve"> “</w:t>
      </w:r>
      <w:r>
        <w:rPr>
          <w:rFonts w:eastAsia="Century Gothic" w:cs="Cambria" w:ascii="Cambria" w:hAnsi="Cambria"/>
          <w:i/>
          <w:iCs/>
          <w:sz w:val="24"/>
          <w:szCs w:val="24"/>
        </w:rPr>
        <w:t>Sendo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elegibilidade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direito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subjetivo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público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de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ser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votado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(=direito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de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concorrer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mandato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eletivo),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inelegibilidade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é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estado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jurídico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negativo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de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quem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não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possui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tal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direito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subjetivo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– </w:t>
      </w:r>
      <w:r>
        <w:rPr>
          <w:rFonts w:eastAsia="Century Gothic" w:cs="Cambria" w:ascii="Cambria" w:hAnsi="Cambria"/>
          <w:i/>
          <w:iCs/>
          <w:sz w:val="24"/>
          <w:szCs w:val="24"/>
        </w:rPr>
        <w:t>seja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porque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nunca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teve,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seja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porque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o</w:t>
      </w:r>
      <w:r>
        <w:rPr>
          <w:rFonts w:eastAsia="Gentium Basic" w:cs="Cambria" w:ascii="Cambria" w:hAnsi="Cambria"/>
          <w:i/>
          <w:iCs/>
          <w:sz w:val="24"/>
          <w:szCs w:val="24"/>
        </w:rPr>
        <w:t xml:space="preserve"> </w:t>
      </w:r>
      <w:r>
        <w:rPr>
          <w:rFonts w:eastAsia="Century Gothic" w:cs="Cambria" w:ascii="Cambria" w:hAnsi="Cambria"/>
          <w:i/>
          <w:iCs/>
          <w:sz w:val="24"/>
          <w:szCs w:val="24"/>
        </w:rPr>
        <w:t>perdeu.</w:t>
      </w:r>
      <w:r>
        <w:rPr>
          <w:rFonts w:eastAsia="Gentium Basic" w:cs="Cambria" w:ascii="Cambria" w:hAnsi="Cambria"/>
          <w:sz w:val="24"/>
          <w:szCs w:val="24"/>
        </w:rPr>
        <w:t>”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Gentium Basic" w:cs="Cambria" w:ascii="Cambria" w:hAnsi="Cambria"/>
          <w:sz w:val="24"/>
          <w:szCs w:val="24"/>
        </w:rPr>
        <w:t xml:space="preserve">Vejo que, apesar de proposto o pedido fora do prazo fixado no art. 19 da Resolução nº 23.609/2019 (até as 19 (dezenove) horas do dia 15 de agosto), com a redação dada pelo art. 9º, inciso IX, da Resolução nº 23.624/2020, </w:t>
      </w:r>
      <w:r>
        <w:rPr>
          <w:rFonts w:eastAsia="Gentium Basic" w:cs="Cambria" w:ascii="Cambria" w:hAnsi="Cambria"/>
          <w:b/>
          <w:bCs/>
          <w:sz w:val="24"/>
          <w:szCs w:val="24"/>
        </w:rPr>
        <w:t>trata-se de substituição</w:t>
      </w:r>
      <w:r>
        <w:rPr>
          <w:rFonts w:eastAsia="Gentium Basic" w:cs="Cambria" w:ascii="Cambria" w:hAnsi="Cambria"/>
          <w:sz w:val="24"/>
          <w:szCs w:val="24"/>
        </w:rPr>
        <w:t>, a qual foi devidamente informada no DRAP (Processo nº ____), de forma a ajustar-se ao critério de quantitativo por sexo estabelecido no art. 17, § 2º, da Resolução nº 23.609/2019.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eastAsia="Gentium Basic" w:cs="Cambria" w:ascii="Cambria" w:hAnsi="Cambria"/>
          <w:b/>
          <w:bCs/>
          <w:i w:val="false"/>
          <w:iCs w:val="false"/>
          <w:sz w:val="24"/>
          <w:szCs w:val="24"/>
        </w:rPr>
        <w:t>Vale registrar, por fim, que mesmo sem impugnação, pode haver o indeferimento do registro, desde que o candidato seja inelegível ou não tenha condições de elegibilidade, conforme estabelece o parágrafo único do art. 50 da Resolução nº 23.609/2019, o que não se manifesta no presente caso.</w:t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eastAsia="Gentium Basic" w:cs="Cambria"/>
          <w:b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</w:tabs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Diante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todas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estas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considerações,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>manifesta-se o Ministério Público Eleitoral</w:t>
      </w:r>
      <w:r>
        <w:rPr>
          <w:rFonts w:cs="Cambria" w:ascii="Cambria" w:hAnsi="Cambria"/>
          <w:color w:val="000000"/>
          <w:sz w:val="24"/>
          <w:szCs w:val="24"/>
        </w:rPr>
        <w:t>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por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seu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promotor,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PELO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DEFERIMENTO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PEDIDO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REGISTRO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CANDIDATURA</w:t>
      </w:r>
      <w:r>
        <w:rPr>
          <w:rFonts w:eastAsia="Gentium Basic" w:cs="Cambria" w:ascii="Cambria" w:hAnsi="Cambria"/>
          <w:b/>
          <w:bCs/>
          <w:color w:val="000000"/>
          <w:sz w:val="24"/>
          <w:szCs w:val="24"/>
        </w:rPr>
        <w:t xml:space="preserve"> ACIMA ESPECIFICADA</w:t>
      </w:r>
      <w:r>
        <w:rPr>
          <w:rFonts w:cs="Cambria" w:ascii="Cambria" w:hAnsi="Cambria"/>
          <w:color w:val="000000"/>
          <w:sz w:val="24"/>
          <w:szCs w:val="24"/>
        </w:rPr>
        <w:t>,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ao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cargo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color w:val="000000"/>
          <w:sz w:val="24"/>
          <w:szCs w:val="24"/>
        </w:rPr>
        <w:t>de</w:t>
      </w:r>
      <w:r>
        <w:rPr>
          <w:rFonts w:eastAsia="Gentium Basic" w:cs="Cambria" w:ascii="Cambria" w:hAnsi="Cambria"/>
          <w:color w:val="000000"/>
          <w:sz w:val="24"/>
          <w:szCs w:val="24"/>
        </w:rPr>
        <w:t xml:space="preserve">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VEREADOR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ind w:left="0" w:right="0" w:hanging="0"/>
        <w:rPr/>
      </w:pPr>
      <w:r>
        <w:rPr>
          <w:rStyle w:val="Caracteresdenotaderodap"/>
        </w:rPr>
        <w:footnoteRef/>
      </w:r>
      <w:r>
        <w:rPr>
          <w:rFonts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Teoria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da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Inelegibilidade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e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o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Direito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Processual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Eleitoral,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1ª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ed.,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Belo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Horizonte,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Del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Rey,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1998,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pág.</w:t>
      </w:r>
      <w:r>
        <w:rPr>
          <w:rFonts w:eastAsia="Gentium Basic" w:cs="Cambria" w:ascii="Cambria" w:hAnsi="Cambria"/>
          <w:sz w:val="18"/>
          <w:szCs w:val="18"/>
        </w:rPr>
        <w:t xml:space="preserve"> </w:t>
      </w:r>
      <w:r>
        <w:rPr>
          <w:rFonts w:cs="Cambria" w:ascii="Cambria" w:hAnsi="Cambria"/>
          <w:sz w:val="18"/>
          <w:szCs w:val="18"/>
        </w:rPr>
        <w:t>145.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2</Pages>
  <Words>498</Words>
  <Characters>2660</Characters>
  <CharactersWithSpaces>3146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2023-06-06T14:46:54Z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