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Trata-se de pedido de registro de candidatura, no qual se verifica que o requerente, apesar de ser detentor de prerrogativa de foro por ocupar o cargo de (</w:t>
      </w:r>
      <w:r>
        <w:rPr>
          <w:rFonts w:cs="Arial" w:ascii="Cambria" w:hAnsi="Cambria"/>
          <w:b/>
          <w:bCs/>
          <w:color w:val="000000"/>
          <w:szCs w:val="24"/>
        </w:rPr>
        <w:t>ESPECIFICAR</w:t>
      </w:r>
      <w:r>
        <w:rPr>
          <w:rFonts w:cs="Arial" w:ascii="Cambria" w:hAnsi="Cambria"/>
          <w:color w:val="000000"/>
          <w:szCs w:val="24"/>
        </w:rPr>
        <w:t xml:space="preserve">), não apresentou </w:t>
      </w:r>
      <w:r>
        <w:rPr>
          <w:rFonts w:cs="Arial" w:ascii="Cambria" w:hAnsi="Cambria"/>
          <w:color w:val="000000"/>
          <w:szCs w:val="24"/>
          <w:u w:val="single"/>
        </w:rPr>
        <w:t>certidão criminal</w:t>
      </w:r>
      <w:r>
        <w:rPr>
          <w:rFonts w:cs="Arial" w:ascii="Cambria" w:hAnsi="Cambria"/>
          <w:color w:val="000000"/>
          <w:szCs w:val="24"/>
        </w:rPr>
        <w:t xml:space="preserve"> do(s) tribunal(is) competente(s) para lhe julgar (</w:t>
      </w:r>
      <w:r>
        <w:rPr>
          <w:rFonts w:cs="Arial" w:ascii="Cambria" w:hAnsi="Cambria"/>
          <w:b/>
          <w:bCs/>
          <w:color w:val="000000"/>
          <w:szCs w:val="24"/>
        </w:rPr>
        <w:t>ESPECIFICAR</w:t>
      </w:r>
      <w:r>
        <w:rPr>
          <w:rFonts w:cs="Arial" w:ascii="Cambria" w:hAnsi="Cambria"/>
          <w:color w:val="000000"/>
          <w:szCs w:val="24"/>
        </w:rPr>
        <w:t xml:space="preserve">), o que contraria o disposto no art. 27, inciso III, “c”, da Resolução TSE nº 23.609/2019, </w:t>
      </w:r>
      <w:r>
        <w:rPr>
          <w:rFonts w:cs="Arial" w:ascii="Cambria" w:hAnsi="Cambria"/>
          <w:i/>
          <w:color w:val="000000"/>
          <w:szCs w:val="24"/>
        </w:rPr>
        <w:t>in verbis</w:t>
      </w:r>
      <w:r>
        <w:rPr>
          <w:rFonts w:cs="Arial" w:ascii="Cambria" w:hAnsi="Cambria"/>
          <w:color w:val="000000"/>
          <w:szCs w:val="24"/>
        </w:rPr>
        <w:t>: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1"/>
          <w:szCs w:val="21"/>
        </w:rPr>
        <w:t>Art. 27. O formulário RRC deve ser apresentado com os seguintes documentos anexados ao CANDex: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1"/>
          <w:szCs w:val="21"/>
        </w:rPr>
        <w:t>III - certidões criminais para fins eleitorais fornecidas (Lei nº 9.504/1997, art. 11, § 1º, VII):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1"/>
          <w:szCs w:val="21"/>
        </w:rPr>
        <w:t>a) pela Justiça Federal de 1º e 2º graus da circunscrição na qual o candidato tenha o seu domicílio eleitoral;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1"/>
          <w:szCs w:val="21"/>
        </w:rPr>
        <w:t>b) pela Justiça Estadual de 1º e 2º graus da circunscrição na qual o candidato tenha o seu domicílio eleitoral;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1"/>
          <w:szCs w:val="21"/>
        </w:rPr>
        <w:t>c) pelos tribunais competentes, quando os candidatos gozarem de foro por prerrogativa de função;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1"/>
          <w:szCs w:val="24"/>
        </w:rPr>
      </w:pPr>
      <w:r>
        <w:rPr>
          <w:rFonts w:cs="Arial" w:ascii="Cambria" w:hAnsi="Cambria"/>
          <w:color w:val="000000"/>
          <w:sz w:val="21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Ante o exposto, o </w:t>
      </w:r>
      <w:r>
        <w:rPr>
          <w:rFonts w:cs="Arial" w:ascii="Cambria" w:hAnsi="Cambria"/>
          <w:b/>
          <w:bCs/>
          <w:color w:val="000000"/>
          <w:szCs w:val="24"/>
        </w:rPr>
        <w:t xml:space="preserve">Ministério Público Eleitoral </w:t>
      </w:r>
      <w:r>
        <w:rPr>
          <w:rFonts w:cs="Arial" w:ascii="Cambria" w:hAnsi="Cambria"/>
          <w:color w:val="000000"/>
          <w:szCs w:val="24"/>
        </w:rPr>
        <w:t xml:space="preserve">manifesta-se pela </w:t>
      </w:r>
      <w:r>
        <w:rPr>
          <w:rFonts w:cs="Arial" w:ascii="Cambria" w:hAnsi="Cambria"/>
          <w:color w:val="000000"/>
          <w:szCs w:val="24"/>
          <w:u w:val="single"/>
        </w:rPr>
        <w:t>conversão do feito em diligência</w:t>
      </w:r>
      <w:r>
        <w:rPr>
          <w:rFonts w:cs="Arial" w:ascii="Cambria" w:hAnsi="Cambria"/>
          <w:color w:val="000000"/>
          <w:szCs w:val="24"/>
        </w:rPr>
        <w:t xml:space="preserve"> (art. 36 da Resolução TSE nº 23.609/2019) a fim de possibilitar ao requerente que corrija o vício no prazo de 03 (três) dias, sendo que, </w:t>
      </w:r>
      <w:r>
        <w:rPr>
          <w:rFonts w:cs="Arial" w:ascii="Cambria" w:hAnsi="Cambria"/>
          <w:color w:val="000000"/>
          <w:szCs w:val="24"/>
          <w:u w:val="single"/>
        </w:rPr>
        <w:t>caso não suprido o vício</w:t>
      </w:r>
      <w:r>
        <w:rPr>
          <w:rFonts w:cs="Arial" w:ascii="Cambria" w:hAnsi="Cambria"/>
          <w:color w:val="000000"/>
          <w:szCs w:val="24"/>
        </w:rPr>
        <w:t xml:space="preserve">, se manifesta desde já pelo </w:t>
      </w:r>
      <w:r>
        <w:rPr>
          <w:rFonts w:cs="Arial" w:ascii="Cambria" w:hAnsi="Cambria"/>
          <w:b/>
          <w:bCs/>
          <w:color w:val="000000"/>
          <w:szCs w:val="24"/>
        </w:rPr>
        <w:t>indeferimento</w:t>
      </w:r>
      <w:r>
        <w:rPr>
          <w:rFonts w:cs="Arial" w:ascii="Cambria" w:hAnsi="Cambria"/>
          <w:color w:val="000000"/>
          <w:szCs w:val="24"/>
        </w:rPr>
        <w:t xml:space="preserve"> do registro.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spacing w:lineRule="auto" w:line="360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ab/>
        <w:tab/>
        <w:tab/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1</Pages>
  <Words>214</Words>
  <Characters>1135</Characters>
  <CharactersWithSpaces>1339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2023-06-06T13:51:05Z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