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 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Times New Roman" w:cs="Cambria" w:ascii="Cambria" w:hAnsi="Cambria"/>
          <w:b/>
          <w:caps/>
          <w:shadow/>
          <w:color w:val="auto"/>
          <w:sz w:val="24"/>
          <w:szCs w:val="24"/>
          <w:lang w:val="pt-BR" w:bidi="ar-SA"/>
        </w:rPr>
        <w:t>MINISTÉRIO</w:t>
      </w:r>
      <w:r>
        <w:rPr>
          <w:rFonts w:eastAsia="Verdana" w:cs="Cambria" w:ascii="Cambria" w:hAnsi="Cambria"/>
          <w:b/>
          <w:caps/>
          <w:shadow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b/>
          <w:caps/>
          <w:shadow/>
          <w:color w:val="auto"/>
          <w:sz w:val="24"/>
          <w:szCs w:val="24"/>
          <w:lang w:val="pt-BR" w:bidi="ar-SA"/>
        </w:rPr>
        <w:t>PÚBLICO</w:t>
      </w:r>
      <w:r>
        <w:rPr>
          <w:rFonts w:eastAsia="Verdana" w:cs="Cambria" w:ascii="Cambria" w:hAnsi="Cambria"/>
          <w:b/>
          <w:caps/>
          <w:shadow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b/>
          <w:caps/>
          <w:shadow/>
          <w:sz w:val="24"/>
          <w:szCs w:val="24"/>
        </w:rPr>
        <w:t>ELEITORAL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órgão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infra-assinado,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presença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Vossa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Excelência,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ajuizar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REPRESENTAÇÃO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ELEITORAL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fundamento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23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9.504/97,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face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XXXXXXXX</w:t>
      </w:r>
      <w:r>
        <w:rPr>
          <w:rFonts w:eastAsia="Verdana" w:cs="Cambria" w:ascii="Cambria" w:hAnsi="Cambria"/>
          <w:b w:val="false"/>
          <w:bCs w:val="false"/>
          <w:sz w:val="24"/>
          <w:szCs w:val="24"/>
          <w:shd w:fill="auto" w:val="clear"/>
        </w:rPr>
        <w:t xml:space="preserve">, inscrito no </w:t>
      </w:r>
      <w:r>
        <w:rPr>
          <w:rFonts w:cs="Cambria" w:ascii="Cambria" w:hAnsi="Cambria"/>
          <w:sz w:val="24"/>
          <w:szCs w:val="24"/>
        </w:rPr>
        <w:t>CPF/MF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XXXXXXXX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pessoa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física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endereço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XXXXXXXX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XXXXXXXX</w:t>
      </w:r>
      <w:r>
        <w:rPr>
          <w:rFonts w:eastAsia="Verdana" w:cs="Cambria" w:ascii="Cambria" w:hAnsi="Cambria"/>
          <w:sz w:val="24"/>
          <w:szCs w:val="24"/>
        </w:rPr>
        <w:t xml:space="preserve"> – </w:t>
      </w:r>
      <w:r>
        <w:rPr>
          <w:rFonts w:cs="Cambria" w:ascii="Cambria" w:hAnsi="Cambria"/>
          <w:sz w:val="24"/>
          <w:szCs w:val="24"/>
        </w:rPr>
        <w:t>CEP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XXXXXXXX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razões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direito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seguir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expostas.</w:t>
      </w:r>
      <w:r>
        <w:rPr>
          <w:rFonts w:eastAsia="Verdana" w:cs="Cambria" w:ascii="Cambria" w:hAnsi="Cambria"/>
          <w:sz w:val="24"/>
          <w:szCs w:val="24"/>
        </w:rPr>
        <w:t xml:space="preserve"> 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eastAsia="Verdana" w:cs="Cambria" w:ascii="Cambria" w:hAnsi="Cambria"/>
          <w:sz w:val="24"/>
          <w:szCs w:val="24"/>
          <w:shd w:fill="auto" w:val="clear"/>
        </w:rPr>
        <w:t>A legislação eleitoral estabelece limites ao financiamento privado de campanhas eleitorais. A Lei n.º 9.504/97, ao regulamentar as doações para campanhas eleitorais realizadas por pessoas físicas, limita o montante desse tipo de liberalidade a  “</w:t>
      </w:r>
      <w:r>
        <w:rPr>
          <w:rFonts w:eastAsia="Verdana" w:cs="Cambria" w:ascii="Cambria" w:hAnsi="Cambria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As doações e contribuições de que trata este artigo ficam limitadas a 10% (dez por cento) dos rendimentos brutos auferidos pelo doador no ano anterior à eleição</w:t>
      </w:r>
      <w:r>
        <w:rPr>
          <w:rFonts w:eastAsia="Verdana" w:cs="Cambria" w:ascii="Cambria" w:hAnsi="Cambria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.</w:t>
      </w:r>
      <w:r>
        <w:rPr>
          <w:rFonts w:eastAsia="Verdana" w:cs="Cambria" w:ascii="Cambria" w:hAnsi="Cambria"/>
          <w:i/>
          <w:iCs/>
          <w:sz w:val="24"/>
          <w:szCs w:val="24"/>
          <w:shd w:fill="auto" w:val="clear"/>
        </w:rPr>
        <w:t xml:space="preserve"> </w:t>
      </w:r>
      <w:r>
        <w:rPr>
          <w:rFonts w:eastAsia="Verdana" w:cs="Cambria" w:ascii="Cambria" w:hAnsi="Cambria"/>
          <w:sz w:val="24"/>
          <w:szCs w:val="24"/>
          <w:shd w:fill="auto" w:val="clear"/>
        </w:rPr>
        <w:t>” (art. 23, § 1º).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eastAsia="Verdana" w:cs="Cambria" w:ascii="Cambria" w:hAnsi="Cambria"/>
          <w:sz w:val="24"/>
          <w:szCs w:val="24"/>
          <w:shd w:fill="auto" w:val="clear"/>
        </w:rPr>
        <w:t>Nos casos de descumprimento do limite fixado em lei, os doadores irregulares sujeitam-se à multa de cinco a dez vezes a quantia doada em excesso, conforme dispõe expressamente o parágrafo 3.º do art. 23 da Lei das Eleições.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A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partir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da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informação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oficial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fornecida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pela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própria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Receita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Federal,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que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goza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de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fé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pública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e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presunção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de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veracidade</w:t>
      </w:r>
      <w:r>
        <w:rPr>
          <w:rStyle w:val="Caracteresdenotaderodap"/>
          <w:rStyle w:val="Ncoradanotaderodap"/>
          <w:rFonts w:eastAsia="Verdana" w:cs="Cambria" w:ascii="Cambria" w:hAnsi="Cambria"/>
          <w:i w:val="false"/>
          <w:iCs w:val="false"/>
          <w:color w:val="000000"/>
          <w:spacing w:val="-4"/>
          <w:sz w:val="24"/>
          <w:szCs w:val="24"/>
          <w:shd w:fill="auto" w:val="clear"/>
          <w:lang w:val="pt-BR" w:bidi="ar-SA"/>
        </w:rPr>
        <w:footnoteReference w:id="2"/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,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propõe-se,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dentro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do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prazo,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presente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representação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e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requer-se,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b/>
          <w:bCs/>
          <w:i w:val="false"/>
          <w:iCs w:val="false"/>
          <w:color w:val="auto"/>
          <w:sz w:val="24"/>
          <w:szCs w:val="24"/>
          <w:lang w:val="pt-BR" w:bidi="ar-SA"/>
        </w:rPr>
        <w:t>liminarmente</w:t>
      </w: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bidi="ar-SA"/>
        </w:rPr>
        <w:t>,</w:t>
      </w:r>
      <w:r>
        <w:rPr>
          <w:rFonts w:eastAsia="Verdana"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bidi="ar-SA"/>
        </w:rPr>
        <w:t>seja</w:t>
      </w:r>
      <w:r>
        <w:rPr>
          <w:rFonts w:eastAsia="Verdana"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bidi="ar-SA"/>
        </w:rPr>
        <w:t>concedido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acesso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u w:val="single"/>
          <w:lang w:val="pt-BR" w:bidi="ar-SA"/>
        </w:rPr>
        <w:t>parte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do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sigilo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fiscal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da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pessoa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ora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</w:t>
      </w:r>
      <w:r>
        <w:rPr>
          <w:rFonts w:eastAsia="Times New Roman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>representada,</w:t>
      </w:r>
      <w:r>
        <w:rPr>
          <w:rFonts w:eastAsia="Verdana" w:cs="Cambria" w:ascii="Cambria" w:hAnsi="Cambria"/>
          <w:i w:val="false"/>
          <w:iCs w:val="false"/>
          <w:color w:val="auto"/>
          <w:sz w:val="24"/>
          <w:szCs w:val="24"/>
          <w:lang w:val="pt-BR" w:bidi="ar-SA"/>
        </w:rPr>
        <w:t xml:space="preserve"> oficiando-se à Secretaria da Receita Federal para que informe  </w:t>
      </w:r>
      <w:r>
        <w:rPr>
          <w:rFonts w:eastAsia="Verdana" w:cs="Cambria" w:ascii="Cambria" w:hAnsi="Cambria"/>
          <w:i w:val="false"/>
          <w:iCs w:val="false"/>
          <w:color w:val="000000"/>
          <w:sz w:val="24"/>
          <w:szCs w:val="24"/>
          <w:shd w:fill="auto" w:val="clear"/>
          <w:lang w:val="pt-BR" w:bidi="ar-SA"/>
        </w:rPr>
        <w:t xml:space="preserve">(i) os </w:t>
      </w:r>
      <w:r>
        <w:rPr>
          <w:rFonts w:eastAsia="Verdana" w:cs="Cambria" w:ascii="Cambria" w:hAnsi="Cambria"/>
          <w:i w:val="false"/>
          <w:iCs w:val="false"/>
          <w:color w:val="000000"/>
          <w:spacing w:val="-6"/>
          <w:sz w:val="24"/>
          <w:szCs w:val="24"/>
          <w:shd w:fill="auto" w:val="clear"/>
          <w:lang w:val="pt-BR" w:bidi="ar-SA"/>
        </w:rPr>
        <w:t>valores totais doados pela representada para campanhas nas eleições de ____; e (ii) os rendimentos brutos declarados pela pessoa física representada para o exercício de ____.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eastAsia="Verdana" w:cs="Cambria" w:ascii="Cambria" w:hAnsi="Cambria"/>
          <w:sz w:val="24"/>
          <w:szCs w:val="24"/>
        </w:rPr>
        <w:t xml:space="preserve">Nesse </w:t>
      </w:r>
      <w:r>
        <w:rPr>
          <w:rFonts w:cs="Cambria" w:ascii="Cambria" w:hAnsi="Cambria"/>
          <w:sz w:val="24"/>
          <w:szCs w:val="24"/>
        </w:rPr>
        <w:t>sentido,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pacífico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entendimento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jurisprudencial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sentido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“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o </w:t>
      </w:r>
      <w:r>
        <w:rPr>
          <w:rFonts w:cs="Cambria" w:ascii="Cambria" w:hAnsi="Cambria"/>
          <w:i/>
          <w:iCs/>
          <w:sz w:val="24"/>
          <w:szCs w:val="24"/>
        </w:rPr>
        <w:t>resultado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do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batimento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entre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valor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da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doação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à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campanha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eleitoral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e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os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dados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fornecidos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pelo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contribuinte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à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Receita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Federal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é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indício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suficiente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para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determinar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a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quebra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do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sigilo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fiscal</w:t>
      </w:r>
      <w:r>
        <w:rPr>
          <w:rFonts w:eastAsia="Verdana" w:cs="Cambria" w:ascii="Cambria" w:hAnsi="Cambria"/>
          <w:sz w:val="24"/>
          <w:szCs w:val="24"/>
        </w:rPr>
        <w:t xml:space="preserve">” </w:t>
      </w:r>
      <w:r>
        <w:rPr>
          <w:rFonts w:cs="Cambria" w:ascii="Cambria" w:hAnsi="Cambria"/>
          <w:sz w:val="24"/>
          <w:szCs w:val="24"/>
        </w:rPr>
        <w:t>(AgR-Respe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174418,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Rel.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Min.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João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Otávio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Noronha,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DJE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04/08/14)</w:t>
      </w:r>
      <w:r>
        <w:rPr>
          <w:rFonts w:cs="Cambria" w:ascii="Cambria" w:hAnsi="Cambria"/>
          <w:i w:val="false"/>
          <w:iCs w:val="false"/>
          <w:sz w:val="24"/>
          <w:szCs w:val="24"/>
        </w:rPr>
        <w:t>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eastAsia="Verdana" w:cs="Cambria" w:ascii="Cambria" w:hAnsi="Cambria"/>
          <w:sz w:val="24"/>
          <w:szCs w:val="24"/>
        </w:rPr>
        <w:t>Ademais, vale ressaltar que a quebra parcial do sigilo fiscal da representada é prova imprescindível à averiguação do ilícito, sendo plenamente válida, nos termos da jurisprudência pátria. Confira-se:</w:t>
      </w:r>
    </w:p>
    <w:p>
      <w:pPr>
        <w:pStyle w:val="Corpodotexto"/>
        <w:widowControl/>
        <w:suppressAutoHyphens w:val="true"/>
        <w:bidi w:val="0"/>
        <w:spacing w:lineRule="atLeast" w:line="200" w:before="0" w:after="0"/>
        <w:ind w:left="1416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tLeast" w:line="200" w:before="0" w:after="0"/>
        <w:ind w:left="2268" w:right="0" w:hanging="0"/>
        <w:jc w:val="both"/>
        <w:rPr/>
      </w:pPr>
      <w:r>
        <w:rPr>
          <w:rFonts w:eastAsia="Verdana" w:cs="Cambria" w:ascii="Cambria" w:hAnsi="Cambria"/>
          <w:color w:val="000000"/>
          <w:sz w:val="22"/>
          <w:szCs w:val="22"/>
        </w:rPr>
        <w:t xml:space="preserve">RECURSO ELEITORAL. REPRESENTAÇÃO ELEITORAL FUNDADA NO ART. 23 DA LEI Nº 9.504/97. DOAÇÃO À CAMPANHA ELEITORAL EFETUADA EM EXCESSO. (...). DECLARAÇÃO DA RECEITA FEDERAL GOZA DE FÉ PÚBLICA. (...). - A PRELIMINAR DE ILICITUDE DA PROVA TAMBÉM MERECE REJEIÇÃO, POIS </w:t>
      </w:r>
      <w:r>
        <w:rPr>
          <w:rFonts w:eastAsia="Verdana" w:cs="Cambria" w:ascii="Cambria" w:hAnsi="Cambria"/>
          <w:b/>
          <w:bCs/>
          <w:color w:val="000000"/>
          <w:sz w:val="22"/>
          <w:szCs w:val="22"/>
        </w:rPr>
        <w:t xml:space="preserve">AFIGURA-SE LEGAL A QUEBRA DO SIGILO FISCAL EFETUADA NOS AUTOS, UMA VEZ QUE A INICIAL FOI DEVIDAMENTE INSTRUÍDA COM A AUTORIZAÇÃO JUDICIAL PARA O LEVANTAMENTO DOS DADOS FISCAIS DO RECORRENTE, BEM COMO PORQUE NÃO SE TRATA DE QUEBRA TOTAL E IRRESTRITA DOS DADOS FISCAIS DA REPRESENTADA, MAS TÃO SOMENTE DAS INFORMAÇÕES ESTRITAMENTE NECESSÁRIAS À ANÁLISE DA VALIDADE DA DOAÇÃO. </w:t>
      </w:r>
      <w:r>
        <w:rPr>
          <w:rFonts w:eastAsia="Verdana" w:cs="Cambria" w:ascii="Cambria" w:hAnsi="Cambria"/>
          <w:b w:val="false"/>
          <w:bCs w:val="false"/>
          <w:color w:val="000000"/>
          <w:sz w:val="22"/>
          <w:szCs w:val="22"/>
        </w:rPr>
        <w:t xml:space="preserve">- (...) - </w:t>
      </w:r>
      <w:r>
        <w:rPr>
          <w:rFonts w:eastAsia="Verdana" w:cs="Cambria" w:ascii="Cambria" w:hAnsi="Cambria"/>
          <w:b/>
          <w:bCs/>
          <w:color w:val="000000"/>
          <w:sz w:val="22"/>
          <w:szCs w:val="22"/>
        </w:rPr>
        <w:t xml:space="preserve">AS INFORMAÇÕES FORNECIDAS PELA SECRETARIA DA RECEITA FEDERAL GOZAM DE FÉ PÚBLICA E, PORTANTO, DEVEM SER CONSIDERADAS COMO VERDADEIRAS, SALVO DEMONSTRAÇÃO DE FATO IMPEDITIVO, MODIFICATIVO OU EXTINTIVO DAS REFERIDAS INFORMAÇÕES. </w:t>
      </w:r>
      <w:r>
        <w:rPr>
          <w:rFonts w:eastAsia="Verdana" w:cs="Cambria" w:ascii="Cambria" w:hAnsi="Cambria"/>
          <w:b w:val="false"/>
          <w:bCs w:val="false"/>
          <w:color w:val="000000"/>
          <w:sz w:val="22"/>
          <w:szCs w:val="22"/>
        </w:rPr>
        <w:t xml:space="preserve">MATÉRIA PRELIMINAR AFASTADA. RECURSO NÃO PROVIDO. </w:t>
      </w:r>
    </w:p>
    <w:p>
      <w:pPr>
        <w:pStyle w:val="LONormal"/>
        <w:widowControl/>
        <w:suppressAutoHyphens w:val="true"/>
        <w:overflowPunct w:val="false"/>
        <w:autoSpaceDE w:val="false"/>
        <w:bidi w:val="0"/>
        <w:spacing w:lineRule="atLeast" w:line="200" w:before="0" w:after="0"/>
        <w:ind w:left="2268" w:right="0" w:hanging="0"/>
        <w:rPr>
          <w:rFonts w:ascii="Cambria" w:hAnsi="Cambria" w:eastAsia="Verdana" w:cs="Cambria"/>
          <w:b w:val="false"/>
          <w:b w:val="false"/>
          <w:b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Verdana" w:cs="Cambria" w:ascii="Cambria" w:hAnsi="Cambria"/>
          <w:b w:val="false"/>
          <w:bCs w:val="false"/>
          <w:strike w:val="false"/>
          <w:dstrike w:val="false"/>
          <w:color w:val="000000"/>
          <w:sz w:val="22"/>
          <w:szCs w:val="22"/>
          <w:u w:val="none"/>
        </w:rPr>
        <w:t xml:space="preserve">(TRE-SP, RECURSO nº 21238, Acórdão de 22/04/2014, Rel. DIVA PRESTES MARCONDES MALERBI, Publicação: DJESP - Diário da Justiça Eletrônico do TRE-SP, Data 29/04/2014) </w:t>
      </w:r>
    </w:p>
    <w:p>
      <w:pPr>
        <w:pStyle w:val="LONormal"/>
        <w:autoSpaceDE w:val="false"/>
        <w:spacing w:lineRule="atLeast" w:line="200" w:before="0" w:after="0"/>
        <w:ind w:left="1416" w:right="0" w:hanging="0"/>
        <w:rPr>
          <w:rFonts w:ascii="Cambria" w:hAnsi="Cambria" w:eastAsia="Verdana" w:cs="Cambria"/>
          <w:b w:val="false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Verdana" w:cs="Cambria" w:ascii="Cambria" w:hAnsi="Cambria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tLeast" w:line="360" w:before="0" w:after="120"/>
        <w:ind w:left="0" w:right="0" w:firstLine="1701"/>
        <w:jc w:val="both"/>
        <w:rPr/>
      </w:pP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sz w:val="24"/>
          <w:szCs w:val="24"/>
        </w:rPr>
        <w:t xml:space="preserve">Com base nas informações prestadas será possível aferir o 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quantum </w:t>
      </w:r>
      <w:r>
        <w:rPr>
          <w:rFonts w:eastAsia="Verdana" w:cs="Cambria" w:ascii="Cambria" w:hAnsi="Cambria"/>
          <w:i w:val="false"/>
          <w:iCs w:val="false"/>
          <w:sz w:val="24"/>
          <w:szCs w:val="24"/>
        </w:rPr>
        <w:t>doado em excesso para arbitramento da multa a ser imposta à representada.</w:t>
      </w:r>
    </w:p>
    <w:p>
      <w:pPr>
        <w:pStyle w:val="Corpodotexto"/>
        <w:widowControl/>
        <w:suppressAutoHyphens w:val="true"/>
        <w:bidi w:val="0"/>
        <w:spacing w:lineRule="atLeast" w:line="360" w:before="113" w:after="113"/>
        <w:ind w:left="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tLeast" w:line="360" w:before="113" w:after="113"/>
        <w:ind w:left="0" w:right="0" w:hanging="0"/>
        <w:jc w:val="both"/>
        <w:rPr>
          <w:rFonts w:ascii="Cambria" w:hAnsi="Cambria" w:eastAsia="Verdana" w:cs="Cambria"/>
          <w:b/>
          <w:b/>
          <w:bCs/>
          <w:sz w:val="24"/>
          <w:szCs w:val="24"/>
        </w:rPr>
      </w:pPr>
      <w:r>
        <w:rPr>
          <w:rFonts w:eastAsia="Verdana" w:cs="Cambria" w:ascii="Cambria" w:hAnsi="Cambria"/>
          <w:b/>
          <w:bCs/>
          <w:sz w:val="24"/>
          <w:szCs w:val="24"/>
        </w:rPr>
        <w:t>PEDIDO</w:t>
      </w:r>
    </w:p>
    <w:p>
      <w:pPr>
        <w:pStyle w:val="CorpodeTexto"/>
        <w:widowControl w:val="false"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Diante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afronta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dispositivo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legal</w:t>
      </w:r>
      <w:r>
        <w:rPr>
          <w:rFonts w:eastAsia="Verdana" w:cs="Cambria" w:ascii="Cambria" w:hAnsi="Cambria"/>
          <w:sz w:val="24"/>
          <w:szCs w:val="24"/>
        </w:rPr>
        <w:t xml:space="preserve"> supra</w:t>
      </w:r>
      <w:r>
        <w:rPr>
          <w:rFonts w:cs="Cambria" w:ascii="Cambria" w:hAnsi="Cambria"/>
          <w:sz w:val="24"/>
          <w:szCs w:val="24"/>
        </w:rPr>
        <w:t>citado,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Promotoria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requer:</w:t>
      </w:r>
    </w:p>
    <w:p>
      <w:pPr>
        <w:pStyle w:val="CorpodeTexto"/>
        <w:widowControl w:val="false"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a)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>o acesso a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o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sigilo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fiscal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da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pessoa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física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representada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spacing w:val="-6"/>
          <w:sz w:val="24"/>
          <w:szCs w:val="24"/>
        </w:rPr>
        <w:t xml:space="preserve">determinando-se à Secretaria da Receita Federal o envio: </w:t>
      </w:r>
      <w:r>
        <w:rPr>
          <w:rFonts w:eastAsia="Verdana" w:cs="Cambria" w:ascii="Cambria" w:hAnsi="Cambria"/>
          <w:i w:val="false"/>
          <w:iCs w:val="false"/>
          <w:color w:val="000000"/>
          <w:spacing w:val="-6"/>
          <w:sz w:val="24"/>
          <w:szCs w:val="24"/>
          <w:shd w:fill="auto" w:val="clear"/>
          <w:lang w:val="pt-BR" w:bidi="ar-SA"/>
        </w:rPr>
        <w:t>(i) dos valores totais doados pela representada para campanhas nas eleições de ____; e (ii) dos rendimentos brutos declarados pela pessoa física representada para o exercício de ____;</w:t>
      </w:r>
    </w:p>
    <w:p>
      <w:pPr>
        <w:pStyle w:val="CorpodeTexto"/>
        <w:widowControl w:val="false"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eastAsia="Verdana" w:cs="Cambria" w:ascii="Cambria" w:hAnsi="Cambria"/>
          <w:sz w:val="24"/>
          <w:szCs w:val="24"/>
        </w:rPr>
        <w:t xml:space="preserve">b)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recebimento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processamento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adoção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rito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previsto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22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Complementar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64/90,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vista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quanto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disposto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alínea</w:t>
      </w:r>
      <w:r>
        <w:rPr>
          <w:rFonts w:eastAsia="Verdana" w:cs="Cambria" w:ascii="Cambria" w:hAnsi="Cambria"/>
          <w:sz w:val="24"/>
          <w:szCs w:val="24"/>
        </w:rPr>
        <w:t xml:space="preserve"> “</w:t>
      </w:r>
      <w:r>
        <w:rPr>
          <w:rFonts w:cs="Cambria" w:ascii="Cambria" w:hAnsi="Cambria"/>
          <w:sz w:val="24"/>
          <w:szCs w:val="24"/>
        </w:rPr>
        <w:t>p</w:t>
      </w:r>
      <w:r>
        <w:rPr>
          <w:rFonts w:eastAsia="Verdana" w:cs="Cambria" w:ascii="Cambria" w:hAnsi="Cambria"/>
          <w:sz w:val="24"/>
          <w:szCs w:val="24"/>
        </w:rPr>
        <w:t>”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inciso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1º,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mesmo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diploma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legal</w:t>
      </w:r>
      <w:r>
        <w:rPr>
          <w:rFonts w:eastAsia="Verdana" w:cs="Cambria" w:ascii="Cambria" w:hAnsi="Cambria"/>
          <w:sz w:val="24"/>
          <w:szCs w:val="24"/>
        </w:rPr>
        <w:t>;</w:t>
      </w:r>
    </w:p>
    <w:p>
      <w:pPr>
        <w:pStyle w:val="CorpodeTexto"/>
        <w:widowControl w:val="false"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c)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decretação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Segredo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Justiça,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razão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sigilo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fiscal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gozam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informações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serem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fornecidas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pacing w:val="-6"/>
          <w:sz w:val="24"/>
          <w:szCs w:val="24"/>
        </w:rPr>
        <w:t>Secretaria</w:t>
      </w:r>
      <w:r>
        <w:rPr>
          <w:rFonts w:eastAsia="Verdana" w:cs="Cambria" w:ascii="Cambria" w:hAnsi="Cambria"/>
          <w:spacing w:val="-6"/>
          <w:sz w:val="24"/>
          <w:szCs w:val="24"/>
        </w:rPr>
        <w:t xml:space="preserve"> </w:t>
      </w:r>
      <w:r>
        <w:rPr>
          <w:rFonts w:cs="Cambria" w:ascii="Cambria" w:hAnsi="Cambria"/>
          <w:spacing w:val="-6"/>
          <w:sz w:val="24"/>
          <w:szCs w:val="24"/>
        </w:rPr>
        <w:t>da</w:t>
      </w:r>
      <w:r>
        <w:rPr>
          <w:rFonts w:eastAsia="Verdana" w:cs="Cambria" w:ascii="Cambria" w:hAnsi="Cambria"/>
          <w:spacing w:val="-6"/>
          <w:sz w:val="24"/>
          <w:szCs w:val="24"/>
        </w:rPr>
        <w:t xml:space="preserve"> </w:t>
      </w:r>
      <w:r>
        <w:rPr>
          <w:rFonts w:cs="Cambria" w:ascii="Cambria" w:hAnsi="Cambria"/>
          <w:spacing w:val="-6"/>
          <w:sz w:val="24"/>
          <w:szCs w:val="24"/>
        </w:rPr>
        <w:t>Receita</w:t>
      </w:r>
      <w:r>
        <w:rPr>
          <w:rFonts w:eastAsia="Verdana" w:cs="Cambria" w:ascii="Cambria" w:hAnsi="Cambria"/>
          <w:spacing w:val="-6"/>
          <w:sz w:val="24"/>
          <w:szCs w:val="24"/>
        </w:rPr>
        <w:t xml:space="preserve"> </w:t>
      </w:r>
      <w:r>
        <w:rPr>
          <w:rFonts w:cs="Cambria" w:ascii="Cambria" w:hAnsi="Cambria"/>
          <w:spacing w:val="-6"/>
          <w:sz w:val="24"/>
          <w:szCs w:val="24"/>
        </w:rPr>
        <w:t>Federal</w:t>
      </w:r>
      <w:r>
        <w:rPr>
          <w:rFonts w:cs="Cambria" w:ascii="Cambria" w:hAnsi="Cambria"/>
          <w:sz w:val="24"/>
          <w:szCs w:val="24"/>
        </w:rPr>
        <w:t>;</w:t>
      </w:r>
    </w:p>
    <w:p>
      <w:pPr>
        <w:pStyle w:val="CorpodeTexto"/>
        <w:widowControl w:val="false"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d)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notificação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pessoa</w:t>
      </w:r>
      <w:r>
        <w:rPr>
          <w:rFonts w:eastAsia="Verdana" w:cs="Cambria" w:ascii="Cambria" w:hAnsi="Cambria"/>
          <w:sz w:val="24"/>
          <w:szCs w:val="24"/>
        </w:rPr>
        <w:t xml:space="preserve"> física </w:t>
      </w:r>
      <w:r>
        <w:rPr>
          <w:rFonts w:cs="Cambria" w:ascii="Cambria" w:hAnsi="Cambria"/>
          <w:sz w:val="24"/>
          <w:szCs w:val="24"/>
        </w:rPr>
        <w:t>representada,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termos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alínea</w:t>
      </w:r>
      <w:r>
        <w:rPr>
          <w:rFonts w:eastAsia="Verdana" w:cs="Cambria" w:ascii="Cambria" w:hAnsi="Cambria"/>
          <w:sz w:val="24"/>
          <w:szCs w:val="24"/>
        </w:rPr>
        <w:t xml:space="preserve"> “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”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inciso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22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Complementar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64/90,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endereço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constante</w:t>
      </w:r>
      <w:r>
        <w:rPr>
          <w:rFonts w:eastAsia="Verdana" w:cs="Cambria" w:ascii="Cambria" w:hAnsi="Cambria"/>
          <w:sz w:val="24"/>
          <w:szCs w:val="24"/>
        </w:rPr>
        <w:t xml:space="preserve"> d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preâmbulo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desta,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querendo,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apresentar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defesa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prazo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legal;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e,</w:t>
      </w:r>
    </w:p>
    <w:p>
      <w:pPr>
        <w:pStyle w:val="CorpodeTexto"/>
        <w:widowControl w:val="false"/>
        <w:suppressAutoHyphens w:val="true"/>
        <w:overflowPunct w:val="false"/>
        <w:bidi w:val="0"/>
        <w:spacing w:lineRule="auto" w:line="360" w:before="113" w:after="113"/>
        <w:ind w:left="0" w:right="0" w:firstLine="1701"/>
        <w:jc w:val="both"/>
        <w:rPr/>
      </w:pP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e)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procedência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presente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representação,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aplicando-se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à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pessoa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física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representada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pena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§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3º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art.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23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Lei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das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Eleições.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0"/>
    <w:family w:val="swiss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autoSpaceDE w:val="false"/>
        <w:spacing w:lineRule="atLeast" w:line="200" w:before="0" w:after="0"/>
        <w:ind w:left="0" w:right="0" w:hanging="0"/>
        <w:jc w:val="both"/>
        <w:rPr/>
      </w:pPr>
      <w:r>
        <w:rPr>
          <w:rStyle w:val="Caracteresdenotaderodap"/>
        </w:rPr>
        <w:footnoteRef/>
      </w:r>
      <w:r>
        <w:rPr>
          <w:rFonts w:eastAsia="Verdana" w:cs="Verdana" w:ascii="Cambria" w:hAnsi="Cambria"/>
          <w:color w:val="000000"/>
          <w:sz w:val="18"/>
          <w:szCs w:val="18"/>
        </w:rPr>
        <w:t xml:space="preserve">TRE-SP, RECURSO nº 10872, Acórdão de 22/04/2014, Relator(a) ROBERTO MAIA FILHO, Publicação: Diário da Justiça Eletrônico do TRE-SP, Data 02/05/2014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WWFontepargpadro">
    <w:name w:val="WW-Fonte parág. padrão"/>
    <w:qFormat/>
    <w:rPr/>
  </w:style>
  <w:style w:type="character" w:styleId="WWCaracteresdenotaderodap">
    <w:name w:val="WW-Caracteres de nota de rodapé"/>
    <w:basedOn w:val="WWFontepargpadro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exact" w:line="360" w:before="0" w:after="120"/>
      <w:ind w:left="0" w:right="0" w:firstLine="2835"/>
      <w:jc w:val="both"/>
    </w:pPr>
    <w:rPr>
      <w:rFonts w:ascii="Times New Roman" w:hAnsi="Times New Roman" w:cs="Times New Roman"/>
      <w:sz w:val="28"/>
      <w:lang w:eastAsia="pt-BR"/>
    </w:rPr>
  </w:style>
  <w:style w:type="paragraph" w:styleId="LONormal">
    <w:name w:val="LO-Normal"/>
    <w:basedOn w:val="Normal"/>
    <w:qFormat/>
    <w:pPr>
      <w:suppressAutoHyphens w:val="true"/>
      <w:autoSpaceDE w:val="false"/>
      <w:bidi w:val="0"/>
      <w:spacing w:lineRule="atLeast" w:line="200"/>
    </w:pPr>
    <w:rPr>
      <w:rFonts w:ascii="Verdana" w:hAnsi="Verdana" w:eastAsia="Verdana" w:cs="Verdana"/>
      <w:color w:val="00000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721</Words>
  <Characters>3953</Characters>
  <CharactersWithSpaces>4661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2023-06-09T07:52:28Z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