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spacing w:lineRule="auto" w:line="360" w:before="120" w:after="12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 n.° E-EXT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IP n.º  .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REQUERENTE: Ministério Público.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INTERESSADO: [Nome da Parte Passiva Selecionada].     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NATUREZA: [tipo penal] (art. xxx). </w:t>
      </w:r>
    </w:p>
    <w:p>
      <w:pPr>
        <w:pStyle w:val="Normal1"/>
        <w:spacing w:lineRule="auto" w:line="360" w:before="120" w:after="12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 xml:space="preserve">PEDIDO DE HOMOLOGAÇÃO DE ACORDO DE NÃO-PERSECUÇÃO PENAL 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MINISTÉRIO PÚBLICO DO ESTADO DO TOCANTINS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, por intermédio da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[Órgão do protocolo/procedimento]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, no uso de suas atribuições legais, vem perante V. Exa., com lastro nos arts. 127, </w:t>
      </w:r>
      <w:r>
        <w:rPr>
          <w:rFonts w:eastAsia="Cambria" w:cs="Cambria" w:ascii="Cambria" w:hAnsi="Cambria"/>
          <w:i/>
          <w:color w:val="00000A"/>
          <w:sz w:val="24"/>
          <w:szCs w:val="24"/>
        </w:rPr>
        <w:t>caput</w:t>
      </w:r>
      <w:r>
        <w:rPr>
          <w:rFonts w:eastAsia="Cambria" w:cs="Cambria" w:ascii="Cambria" w:hAnsi="Cambria"/>
          <w:color w:val="00000A"/>
          <w:sz w:val="24"/>
          <w:szCs w:val="24"/>
        </w:rPr>
        <w:t>,</w:t>
      </w:r>
      <w:r>
        <w:rPr>
          <w:rFonts w:eastAsia="Cambria" w:cs="Cambria" w:ascii="Cambria" w:hAnsi="Cambria"/>
          <w:i/>
          <w:color w:val="00000A"/>
          <w:sz w:val="24"/>
          <w:szCs w:val="24"/>
        </w:rPr>
        <w:t xml:space="preserve"> 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e 129, inciso I, da Constituição Federal, bem como no art. 28-A, do Código de Processo Penal e art. 18, da Resolução CNMP n.º 181/2017, modificada pela Resolução CNMP n.º 183/2018, apresentar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 xml:space="preserve">PEDIDO DE HOMOLOGAÇÃO JUDICIAL DE ACORDO DE NÃO PERSECUÇÃO PENAL, </w:t>
      </w:r>
      <w:r>
        <w:rPr>
          <w:rFonts w:eastAsia="Cambria" w:cs="Cambria" w:ascii="Cambria" w:hAnsi="Cambria"/>
          <w:color w:val="00000A"/>
          <w:sz w:val="24"/>
          <w:szCs w:val="24"/>
        </w:rPr>
        <w:t>pelas razões de fato e de direito abaixo expendidas: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Trata-se de Inquérito Policial instaurado em razão de fato ocorrido </w:t>
      </w:r>
      <w:r>
        <w:rPr>
          <w:rFonts w:eastAsia="Cambria" w:cs="Cambria" w:ascii="Cambria" w:hAnsi="Cambria"/>
          <w:sz w:val="24"/>
          <w:szCs w:val="24"/>
        </w:rPr>
        <w:t xml:space="preserve">no dia XXXXXXXX, às XXXhXXXmin, na Rua XXXXXXXX, Bairro XXXXX, cidade de XXXXXXXX, oportunidade em que o </w:t>
      </w:r>
      <w:r>
        <w:rPr>
          <w:rFonts w:eastAsia="Cambria" w:cs="Cambria" w:ascii="Cambria" w:hAnsi="Cambria"/>
          <w:color w:val="FF0000"/>
          <w:sz w:val="24"/>
          <w:szCs w:val="24"/>
        </w:rPr>
        <w:t>(RESUMO DOS FATOS).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Os fatos, como narrados, amoldaram-se </w:t>
      </w:r>
      <w:r>
        <w:rPr>
          <w:rFonts w:eastAsia="Cambria" w:cs="Cambria" w:ascii="Cambria" w:hAnsi="Cambria"/>
          <w:sz w:val="24"/>
          <w:szCs w:val="24"/>
        </w:rPr>
        <w:t xml:space="preserve">à conduta típica do art. XXXX, do XXXXXXXXX </w:t>
      </w:r>
      <w:r>
        <w:rPr>
          <w:rFonts w:eastAsia="Cambria" w:cs="Cambria" w:ascii="Cambria" w:hAnsi="Cambria"/>
          <w:color w:val="FF0000"/>
          <w:sz w:val="24"/>
          <w:szCs w:val="24"/>
        </w:rPr>
        <w:t>(TIPO PENAL)</w:t>
      </w:r>
      <w:r>
        <w:rPr>
          <w:rFonts w:eastAsia="Cambria" w:cs="Cambria" w:ascii="Cambria" w:hAnsi="Cambria"/>
          <w:sz w:val="24"/>
          <w:szCs w:val="24"/>
        </w:rPr>
        <w:t xml:space="preserve">, e os autos inquisitoriais, registrados sob o nº [Número do SAJ], vieram com vista ao Ministério Público, tendo sido observado que a conduta imputada ao Investigado possuía pena mínima inferior a quatro anos, fora 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praticado sem violência ou grave ameaça a pessoa e não configura </w:t>
      </w:r>
      <w:r>
        <w:rPr>
          <w:rFonts w:eastAsia="Cambria" w:cs="Cambria" w:ascii="Cambria" w:hAnsi="Cambria"/>
          <w:sz w:val="24"/>
          <w:szCs w:val="24"/>
        </w:rPr>
        <w:t>crime praticado no âmbito de violência doméstica ou familiar ou contra a mulher por razões da condição de sexo feminino</w:t>
      </w:r>
      <w:r>
        <w:rPr>
          <w:rFonts w:eastAsia="Cambria" w:cs="Cambria" w:ascii="Cambria" w:hAnsi="Cambria"/>
          <w:color w:val="00000A"/>
          <w:sz w:val="24"/>
          <w:szCs w:val="24"/>
        </w:rPr>
        <w:t>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Outrossim, no azo, o Investigado confessou voluntária e detalhadamente a conduta que lhe estava sendo imputada, indicando detalhes de como ela havia ocorrido.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Ao fato, descabe aplicação do benefício de transação penal e o Investigado não fora </w:t>
      </w:r>
      <w:r>
        <w:rPr>
          <w:rFonts w:eastAsia="Cambria" w:cs="Cambria" w:ascii="Cambria" w:hAnsi="Cambria"/>
          <w:sz w:val="24"/>
          <w:szCs w:val="24"/>
        </w:rPr>
        <w:t>beneficiado, nos cinco anos anteriores ao cometimento da infração em comento, com outros acordos de não persecução penal tampouco transações penais ou suspensões condicionais do processo</w:t>
      </w:r>
      <w:r>
        <w:rPr>
          <w:rFonts w:eastAsia="Cambria" w:cs="Cambria" w:ascii="Cambria" w:hAnsi="Cambria"/>
          <w:color w:val="00000A"/>
          <w:sz w:val="24"/>
          <w:szCs w:val="24"/>
        </w:rPr>
        <w:t>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Constatou-se, em análise aos autos, que a </w:t>
      </w:r>
      <w:r>
        <w:rPr>
          <w:rFonts w:eastAsia="Cambria" w:cs="Cambria" w:ascii="Cambria" w:hAnsi="Cambria"/>
          <w:sz w:val="24"/>
          <w:szCs w:val="24"/>
        </w:rPr>
        <w:t xml:space="preserve">culpabilidade, os antecedentes, a conduta social e a personalidade do agente, acrescidos dos motivos, circunstâncias e consequências do crime indicam que 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o acordo de não persecução penal configura medida </w:t>
      </w:r>
      <w:r>
        <w:rPr>
          <w:rFonts w:eastAsia="Cambria" w:cs="Cambria" w:ascii="Cambria" w:hAnsi="Cambria"/>
          <w:sz w:val="24"/>
          <w:szCs w:val="24"/>
        </w:rPr>
        <w:t>necessária e suficiente para reprovação e prevenção do crime</w:t>
      </w:r>
      <w:r>
        <w:rPr>
          <w:rFonts w:eastAsia="Cambria" w:cs="Cambria" w:ascii="Cambria" w:hAnsi="Cambria"/>
          <w:color w:val="00000A"/>
          <w:sz w:val="24"/>
          <w:szCs w:val="24"/>
        </w:rPr>
        <w:t>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Nesse contexto e considerando o preenchimento d</w:t>
      </w:r>
      <w:r>
        <w:rPr>
          <w:rFonts w:eastAsia="Cambria" w:cs="Cambria" w:ascii="Cambria" w:hAnsi="Cambria"/>
          <w:sz w:val="24"/>
          <w:szCs w:val="24"/>
        </w:rPr>
        <w:t xml:space="preserve">os requisitos dispostos no art.28-A, do Código de Processo Penal, 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o Sr.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[Nome da Parte Passiva Selecionada]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foi notificado a comparecer na plataforma digital </w:t>
      </w:r>
      <w:r>
        <w:rPr>
          <w:rFonts w:eastAsia="Cambria" w:cs="Cambria" w:ascii="Cambria" w:hAnsi="Cambria"/>
          <w:i/>
          <w:color w:val="00000A"/>
          <w:sz w:val="24"/>
          <w:szCs w:val="24"/>
        </w:rPr>
        <w:t>______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, em reunião </w:t>
      </w:r>
      <w:r>
        <w:rPr>
          <w:rFonts w:eastAsia="Cambria" w:cs="Cambria" w:ascii="Cambria" w:hAnsi="Cambria"/>
          <w:i/>
          <w:color w:val="00000A"/>
          <w:sz w:val="24"/>
          <w:szCs w:val="24"/>
        </w:rPr>
        <w:t>on line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com este órgão do Ministério Público, a fim de aduzir se tinha interesse em firmar Acordo de Não Persecução Penal, manifestando-se positivamente, tendo havido participação da defesa técnica no ato. 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Naquela oportunidade, a negociação resultou no Acordo de Não Persecução Penal, cujas tratativas seguem registradas em vídeo, acessível por meio do link XXXXXXX, bem assim no Termo que acompanha a presente peça, subscrita pelo Ministério Público, com a devida anuência do investigado, conforme consignado na gravação das trativas.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Induvidosa, pois, a </w:t>
      </w:r>
      <w:r>
        <w:rPr>
          <w:rFonts w:eastAsia="Cambria" w:cs="Cambria" w:ascii="Cambria" w:hAnsi="Cambria"/>
          <w:color w:val="00000A"/>
          <w:sz w:val="24"/>
          <w:szCs w:val="24"/>
          <w:u w:val="single"/>
        </w:rPr>
        <w:t>legalidade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da medida e a </w:t>
      </w:r>
      <w:r>
        <w:rPr>
          <w:rFonts w:eastAsia="Cambria" w:cs="Cambria" w:ascii="Cambria" w:hAnsi="Cambria"/>
          <w:color w:val="00000A"/>
          <w:sz w:val="24"/>
          <w:szCs w:val="24"/>
          <w:u w:val="single"/>
        </w:rPr>
        <w:t>voluntariedade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do Sr.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 xml:space="preserve">[Nome da Parte Passiva Selecionada] </w:t>
      </w:r>
      <w:r>
        <w:rPr>
          <w:rFonts w:eastAsia="Cambria" w:cs="Cambria" w:ascii="Cambria" w:hAnsi="Cambria"/>
          <w:color w:val="00000A"/>
          <w:sz w:val="24"/>
          <w:szCs w:val="24"/>
        </w:rPr>
        <w:t>no pacto ajustado.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A despeito disso e para ter validade, o Acordo de Não Persecução Penal deve ser submetido à chancela judicial, a quem compete, após realização da respectiva audiência, na forma do § 4º, do art. 28-A, do Código de Processo Penal, analisar se as condições ajustadas e estabelecidas em Termo que acompanha este petitório são adequadas e suficientes ao caso concreto. 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Inobstante, registre-se que, em sendo devidamente homologado o presente ajuste, devem os autos ser remetidos ao Juízo da Execução para acompanhamento e fiscalização das condicionantes estipuladas, na forma da lei.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Diante do exposto,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REQUER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o Ministério Público que V. Exa. proceda a: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(a) realização de audiência judicial com o Investigado (art. 28-A, §4º, CPP);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(b) homologação do presente Acordo de Não Persecução Penal firmado com o Sr.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[Nome da Parte Passiva Selecionada]</w:t>
      </w:r>
      <w:r>
        <w:rPr>
          <w:rFonts w:eastAsia="Cambria" w:cs="Cambria" w:ascii="Cambria" w:hAnsi="Cambria"/>
          <w:color w:val="00000A"/>
          <w:sz w:val="24"/>
          <w:szCs w:val="24"/>
        </w:rPr>
        <w:t>, a fim de que produza seus efeitos legalmente previstos (art. 28, § 6º, CPP);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(c) </w:t>
      </w:r>
      <w:r>
        <w:rPr>
          <w:rFonts w:eastAsia="Cambria" w:cs="Cambria" w:ascii="Cambria" w:hAnsi="Cambria"/>
          <w:sz w:val="24"/>
          <w:szCs w:val="24"/>
          <w:u w:val="single"/>
        </w:rPr>
        <w:t>remessa imediata da arma de fogo e munições ao Comando do Exército competente para os devidos fins (art. 25, Lei n.º 10826/03 e Resolução CNJ n.º 134/2011)</w:t>
      </w:r>
      <w:r>
        <w:rPr>
          <w:rFonts w:eastAsia="Cambria" w:cs="Cambria" w:ascii="Cambria" w:hAnsi="Cambria"/>
          <w:sz w:val="24"/>
          <w:szCs w:val="24"/>
        </w:rPr>
        <w:t xml:space="preserve">; 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(d) em seguida, remessa dos autos ao Juízo da Execução para </w:t>
      </w:r>
      <w:r>
        <w:rPr>
          <w:rFonts w:eastAsia="Cambria" w:cs="Cambria" w:ascii="Cambria" w:hAnsi="Cambria"/>
          <w:sz w:val="24"/>
          <w:szCs w:val="24"/>
        </w:rPr>
        <w:t>acompanhamento e fiscalização das condicionantes estipuladas, a quem, de logo, requer, após cumpridos os termos do Acordo, a extinção da punibilidade do Autor.</w:t>
      </w:r>
    </w:p>
    <w:p>
      <w:pPr>
        <w:pStyle w:val="Normal1"/>
        <w:widowControl w:val="false"/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Para tanto, reúne aos autos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(i)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o Termo de Acordo de Não Persecução Penal firmado entre o Ministério Público Eleitoral e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[Nome da Parte Passiva Selecionada]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e os demais expedientes comunicatórios realizados nos autos, e;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(ii)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 uma mídia contendo o teor da reunião para pactuação do Acordo de Não Persecução Penal, e que pode ser acessada no seguinte</w:t>
      </w:r>
      <w:r>
        <w:rPr>
          <w:rFonts w:eastAsia="Cambria" w:cs="Cambria" w:ascii="Cambria" w:hAnsi="Cambria"/>
          <w:i/>
          <w:color w:val="00000A"/>
          <w:sz w:val="24"/>
          <w:szCs w:val="24"/>
        </w:rPr>
        <w:t xml:space="preserve"> link</w:t>
      </w:r>
      <w:r>
        <w:rPr>
          <w:rFonts w:eastAsia="Cambria" w:cs="Cambria" w:ascii="Cambria" w:hAnsi="Cambria"/>
          <w:color w:val="00000A"/>
          <w:sz w:val="24"/>
          <w:szCs w:val="24"/>
        </w:rPr>
        <w:t xml:space="preserve">: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(INSERIR LINK DO ARQUIVO DE MÍDIA). 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O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 xml:space="preserve">link 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também foi encaminhado por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 xml:space="preserve">e-mail 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a esse douto Juízo.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762</Words>
  <Characters>4144</Characters>
  <CharactersWithSpaces>4890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2023-06-11T08:42:00Z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