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Impugnante: Ministério Público Eleitoral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Impugnado(a):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</w:rPr>
        <w:t xml:space="preserve">O </w:t>
      </w:r>
      <w:r>
        <w:rPr>
          <w:rFonts w:cs="Tahoma" w:ascii="Cambria" w:hAnsi="Cambria"/>
          <w:b/>
          <w:szCs w:val="24"/>
        </w:rPr>
        <w:t>Ministério Público Eleitoral</w:t>
      </w:r>
      <w:r>
        <w:rPr>
          <w:rFonts w:cs="Tahoma" w:ascii="Cambria" w:hAnsi="Cambria"/>
          <w:szCs w:val="24"/>
        </w:rPr>
        <w:t xml:space="preserve">, por intermédio do Promotor Eleitoral que ao final subscreve, no uso de suas atribuições constitucionais e legais, vem, respeitosamente, à presença de Vossa Excelência, apresentar suas </w:t>
      </w:r>
      <w:r>
        <w:rPr>
          <w:rFonts w:cs="Tahoma" w:ascii="Cambria" w:hAnsi="Cambria"/>
          <w:szCs w:val="24"/>
          <w:u w:val="single"/>
        </w:rPr>
        <w:t>ALEGAÇÕES FINAIS</w:t>
      </w:r>
      <w:r>
        <w:rPr>
          <w:rFonts w:cs="Tahoma" w:ascii="Cambria" w:hAnsi="Cambria"/>
          <w:szCs w:val="24"/>
        </w:rPr>
        <w:t>, com base nos seguintes fundamentos de fato e de direito: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Cs w:val="24"/>
        </w:rPr>
      </w:pPr>
      <w:r>
        <w:rPr>
          <w:rFonts w:cs="Tahoma" w:ascii="Cambria" w:hAnsi="Cambria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b/>
          <w:b/>
          <w:szCs w:val="24"/>
        </w:rPr>
      </w:pPr>
      <w:r>
        <w:rPr>
          <w:rFonts w:cs="Tahoma" w:ascii="Cambria" w:hAnsi="Cambria"/>
          <w:b/>
          <w:szCs w:val="24"/>
        </w:rPr>
        <w:t>I – Dos fatos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b/>
          <w:b/>
          <w:szCs w:val="24"/>
        </w:rPr>
      </w:pPr>
      <w:r>
        <w:rPr>
          <w:rFonts w:cs="Tahoma" w:ascii="Cambria" w:hAnsi="Cambria"/>
          <w:b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</w:rPr>
        <w:t xml:space="preserve">Trata-se de Requerimento de Registro de Candidatura – RRC do candidato </w:t>
      </w:r>
      <w:r>
        <w:rPr>
          <w:rFonts w:cs="Tahoma" w:ascii="Cambria" w:hAnsi="Cambria"/>
          <w:szCs w:val="24"/>
          <w:shd w:fill="FFFF00" w:val="clear"/>
        </w:rPr>
        <w:t>XXXX</w:t>
      </w:r>
      <w:r>
        <w:rPr>
          <w:rFonts w:cs="Tahoma" w:ascii="Cambria" w:hAnsi="Cambria"/>
          <w:szCs w:val="24"/>
        </w:rPr>
        <w:t xml:space="preserve">, o qual se candidatou ao cargo de </w:t>
      </w:r>
      <w:r>
        <w:rPr>
          <w:rFonts w:cs="Tahoma" w:ascii="Cambria" w:hAnsi="Cambria"/>
          <w:szCs w:val="24"/>
          <w:shd w:fill="FFFF00" w:val="clear"/>
        </w:rPr>
        <w:t>XXXX</w:t>
      </w:r>
      <w:r>
        <w:rPr>
          <w:rFonts w:cs="Tahoma" w:ascii="Cambria" w:hAnsi="Cambria"/>
          <w:szCs w:val="24"/>
        </w:rPr>
        <w:t xml:space="preserve"> no município de </w:t>
      </w:r>
      <w:r>
        <w:rPr>
          <w:rFonts w:cs="Tahoma" w:ascii="Cambria" w:hAnsi="Cambria"/>
          <w:szCs w:val="24"/>
          <w:shd w:fill="FFFF00" w:val="clear"/>
        </w:rPr>
        <w:t>XXXX</w:t>
      </w:r>
      <w:r>
        <w:rPr>
          <w:rFonts w:cs="Tahoma" w:ascii="Cambria" w:hAnsi="Cambria"/>
          <w:szCs w:val="24"/>
        </w:rPr>
        <w:t>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Cs w:val="24"/>
        </w:rPr>
      </w:pPr>
      <w:r>
        <w:rPr>
          <w:rFonts w:cs="Tahoma" w:ascii="Cambria" w:hAnsi="Cambria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</w:rPr>
        <w:t xml:space="preserve">O Ministério Público Eleitoral apresentou Ação de Impugnação de Registro de Candidatura – AIRC, pois </w:t>
      </w:r>
      <w:r>
        <w:rPr>
          <w:rFonts w:cs="Tahoma" w:ascii="Cambria" w:hAnsi="Cambria"/>
          <w:szCs w:val="24"/>
          <w:shd w:fill="FFFF00" w:val="clear"/>
        </w:rPr>
        <w:t>XXXX (descrever resumidamente o motivo da impugnação)</w:t>
      </w:r>
      <w:r>
        <w:rPr>
          <w:rFonts w:cs="Tahoma" w:ascii="Cambria" w:hAnsi="Cambria"/>
          <w:szCs w:val="24"/>
        </w:rPr>
        <w:t xml:space="preserve">, conforme petição inicial de ff. </w:t>
      </w:r>
      <w:r>
        <w:rPr>
          <w:rFonts w:cs="Tahoma" w:ascii="Cambria" w:hAnsi="Cambria"/>
          <w:szCs w:val="24"/>
          <w:shd w:fill="FFFF00" w:val="clear"/>
        </w:rPr>
        <w:t>XX/XX</w:t>
      </w:r>
      <w:r>
        <w:rPr>
          <w:rFonts w:cs="Tahoma" w:ascii="Cambria" w:hAnsi="Cambria"/>
          <w:szCs w:val="24"/>
        </w:rPr>
        <w:t>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Cs w:val="24"/>
        </w:rPr>
      </w:pPr>
      <w:r>
        <w:rPr>
          <w:rFonts w:cs="Tahoma" w:ascii="Cambria" w:hAnsi="Cambria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</w:rPr>
        <w:t xml:space="preserve">O candidato foi devidamente notificado e apresentou contestação às ff. </w:t>
      </w:r>
      <w:r>
        <w:rPr>
          <w:rFonts w:cs="Tahoma" w:ascii="Cambria" w:hAnsi="Cambria"/>
          <w:szCs w:val="24"/>
          <w:shd w:fill="FFFF00" w:val="clear"/>
        </w:rPr>
        <w:t>XX/XX</w:t>
      </w:r>
      <w:r>
        <w:rPr>
          <w:rFonts w:cs="Tahoma" w:ascii="Cambria" w:hAnsi="Cambria"/>
          <w:szCs w:val="24"/>
        </w:rPr>
        <w:t>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Cs w:val="24"/>
        </w:rPr>
      </w:pPr>
      <w:r>
        <w:rPr>
          <w:rFonts w:cs="Tahoma" w:ascii="Cambria" w:hAnsi="Cambria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</w:rPr>
        <w:t>Encerrada a instrução processual, os autos vieram para alegações finais das partes.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Cs w:val="24"/>
        </w:rPr>
      </w:pPr>
      <w:r>
        <w:rPr>
          <w:rFonts w:cs="Tahoma" w:ascii="Cambria" w:hAnsi="Cambria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Cs w:val="24"/>
        </w:rPr>
      </w:pPr>
      <w:r>
        <w:rPr>
          <w:rFonts w:cs="Tahoma" w:ascii="Cambria" w:hAnsi="Cambria"/>
          <w:szCs w:val="24"/>
        </w:rPr>
        <w:t>É a síntese do necessário.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Cs w:val="24"/>
        </w:rPr>
      </w:pPr>
      <w:r>
        <w:rPr>
          <w:rFonts w:cs="Tahoma" w:ascii="Cambria" w:hAnsi="Cambria"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b/>
          <w:b/>
          <w:szCs w:val="24"/>
        </w:rPr>
      </w:pPr>
      <w:r>
        <w:rPr>
          <w:rFonts w:cs="Tahoma" w:ascii="Cambria" w:hAnsi="Cambria"/>
          <w:b/>
          <w:szCs w:val="24"/>
        </w:rPr>
        <w:t>II – Do direito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b/>
          <w:b/>
          <w:szCs w:val="24"/>
        </w:rPr>
      </w:pPr>
      <w:r>
        <w:rPr>
          <w:rFonts w:cs="Tahoma" w:ascii="Cambria" w:hAnsi="Cambria"/>
          <w:b/>
          <w:szCs w:val="24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</w:rPr>
        <w:t xml:space="preserve">Deverá ser julgada </w:t>
      </w:r>
      <w:r>
        <w:rPr>
          <w:rFonts w:cs="Tahoma" w:ascii="Cambria" w:hAnsi="Cambria"/>
          <w:szCs w:val="24"/>
          <w:u w:val="single"/>
        </w:rPr>
        <w:t>procedente</w:t>
      </w:r>
      <w:r>
        <w:rPr>
          <w:rFonts w:cs="Tahoma" w:ascii="Cambria" w:hAnsi="Cambria"/>
          <w:szCs w:val="24"/>
        </w:rPr>
        <w:t xml:space="preserve"> a Ação de Impugnação de Registro de Candidatura – AIRC apresentada pelo Ministério Público Eleitoral, com o consequente </w:t>
      </w:r>
      <w:r>
        <w:rPr>
          <w:rFonts w:cs="Tahoma" w:ascii="Cambria" w:hAnsi="Cambria"/>
          <w:b/>
          <w:szCs w:val="24"/>
        </w:rPr>
        <w:t xml:space="preserve">indeferimento </w:t>
      </w:r>
      <w:r>
        <w:rPr>
          <w:rFonts w:cs="Tahoma" w:ascii="Cambria" w:hAnsi="Cambria"/>
          <w:szCs w:val="24"/>
        </w:rPr>
        <w:t xml:space="preserve">do registro de candidatura de </w:t>
      </w:r>
      <w:r>
        <w:rPr>
          <w:rFonts w:cs="Tahoma" w:ascii="Cambria" w:hAnsi="Cambria"/>
          <w:szCs w:val="24"/>
          <w:shd w:fill="FFFF00" w:val="clear"/>
        </w:rPr>
        <w:t>XXXX</w:t>
      </w:r>
      <w:r>
        <w:rPr>
          <w:rFonts w:cs="Tahoma" w:ascii="Cambria" w:hAnsi="Cambria"/>
          <w:szCs w:val="24"/>
        </w:rPr>
        <w:t>. Senão vejamos.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  <w:lang w:eastAsia="pt-BR"/>
        </w:rPr>
        <w:t>Como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é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cediço,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para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que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uma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pessoa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venha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a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registrar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sua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candidatura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junto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à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Justiça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Eleitoral,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passando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a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obter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o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direito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de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ser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votado,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deve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atender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às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b/>
          <w:szCs w:val="24"/>
          <w:lang w:eastAsia="pt-BR"/>
        </w:rPr>
        <w:t>condições</w:t>
      </w:r>
      <w:r>
        <w:rPr>
          <w:rFonts w:eastAsia="Verdana" w:cs="Tahoma" w:ascii="Cambria" w:hAnsi="Cambria"/>
          <w:b/>
          <w:szCs w:val="24"/>
          <w:lang w:eastAsia="pt-BR"/>
        </w:rPr>
        <w:t xml:space="preserve"> </w:t>
      </w:r>
      <w:r>
        <w:rPr>
          <w:rFonts w:cs="Tahoma" w:ascii="Cambria" w:hAnsi="Cambria"/>
          <w:b/>
          <w:szCs w:val="24"/>
          <w:lang w:eastAsia="pt-BR"/>
        </w:rPr>
        <w:t>de</w:t>
      </w:r>
      <w:r>
        <w:rPr>
          <w:rFonts w:eastAsia="Verdana" w:cs="Tahoma" w:ascii="Cambria" w:hAnsi="Cambria"/>
          <w:b/>
          <w:szCs w:val="24"/>
          <w:lang w:eastAsia="pt-BR"/>
        </w:rPr>
        <w:t xml:space="preserve"> </w:t>
      </w:r>
      <w:r>
        <w:rPr>
          <w:rFonts w:cs="Tahoma" w:ascii="Cambria" w:hAnsi="Cambria"/>
          <w:b/>
          <w:szCs w:val="24"/>
          <w:lang w:eastAsia="pt-BR"/>
        </w:rPr>
        <w:t>elegibilidade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previstas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no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art.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14,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§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3º,</w:t>
      </w:r>
      <w:r>
        <w:rPr>
          <w:rFonts w:eastAsia="Verdana" w:cs="Tahoma" w:ascii="Cambria" w:hAnsi="Cambria"/>
          <w:szCs w:val="24"/>
          <w:lang w:eastAsia="pt-BR"/>
        </w:rPr>
        <w:t xml:space="preserve"> da Constituição</w:t>
      </w:r>
      <w:r>
        <w:rPr>
          <w:rFonts w:cs="Tahoma" w:ascii="Cambria" w:hAnsi="Cambria"/>
          <w:szCs w:val="24"/>
          <w:lang w:eastAsia="pt-BR"/>
        </w:rPr>
        <w:t xml:space="preserve">, e não incidir em nenhuma </w:t>
      </w:r>
      <w:r>
        <w:rPr>
          <w:rFonts w:cs="Tahoma" w:ascii="Cambria" w:hAnsi="Cambria"/>
          <w:b/>
          <w:szCs w:val="24"/>
          <w:lang w:eastAsia="pt-BR"/>
        </w:rPr>
        <w:t>causa de inelegibilidade</w:t>
      </w:r>
      <w:r>
        <w:rPr>
          <w:rFonts w:cs="Tahoma" w:ascii="Cambria" w:hAnsi="Cambria"/>
          <w:szCs w:val="24"/>
          <w:lang w:eastAsia="pt-BR"/>
        </w:rPr>
        <w:t xml:space="preserve"> previ</w:t>
      </w:r>
      <w:r>
        <w:rPr>
          <w:rFonts w:eastAsia="Verdana" w:cs="Tahoma" w:ascii="Cambria" w:hAnsi="Cambria"/>
          <w:szCs w:val="24"/>
          <w:lang w:eastAsia="pt-BR"/>
        </w:rPr>
        <w:t>sta na Constituição ou na Lei Complementar 64/90.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  <w:lang w:eastAsia="pt-BR"/>
        </w:rPr>
        <w:t>No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caso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em análise,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verifica-se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que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o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impugnado</w:t>
      </w:r>
      <w:r>
        <w:rPr>
          <w:rFonts w:eastAsia="Verdana" w:cs="Tahoma" w:ascii="Cambria" w:hAnsi="Cambria"/>
          <w:szCs w:val="24"/>
          <w:lang w:eastAsia="pt-BR"/>
        </w:rPr>
        <w:t xml:space="preserve"> não preenche todos os requ</w:t>
      </w:r>
      <w:r>
        <w:rPr>
          <w:rFonts w:cs="Tahoma" w:ascii="Cambria" w:hAnsi="Cambria"/>
          <w:szCs w:val="24"/>
          <w:lang w:eastAsia="pt-BR"/>
        </w:rPr>
        <w:t>isitos constitucionais e legais para ser candidato, pois</w:t>
      </w:r>
      <w:r>
        <w:rPr>
          <w:rFonts w:cs="Tahoma" w:ascii="Cambria" w:hAnsi="Cambria"/>
          <w:szCs w:val="24"/>
          <w:shd w:fill="FFFF00" w:val="clear"/>
          <w:lang w:eastAsia="pt-BR"/>
        </w:rPr>
        <w:t xml:space="preserve"> XXXXX (citar a condição de elegibilidade faltante ou a causa de inelegibilidade existente)</w:t>
      </w:r>
      <w:r>
        <w:rPr>
          <w:rFonts w:cs="Tahoma" w:ascii="Cambria" w:hAnsi="Cambria"/>
          <w:szCs w:val="24"/>
          <w:lang w:eastAsia="pt-BR"/>
        </w:rPr>
        <w:t xml:space="preserve">, nos termos do art. XXXXX. </w:t>
      </w:r>
      <w:r>
        <w:rPr>
          <w:rFonts w:cs="Tahoma" w:ascii="Cambria" w:hAnsi="Cambria"/>
          <w:szCs w:val="24"/>
          <w:shd w:fill="FFFF00" w:val="clear"/>
          <w:lang w:eastAsia="pt-BR"/>
        </w:rPr>
        <w:t>(citara base legal)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  <w:lang w:eastAsia="pt-BR"/>
        </w:rPr>
        <w:t>Com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efeito,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o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lang w:eastAsia="pt-BR"/>
        </w:rPr>
        <w:t>impugnado</w:t>
      </w:r>
      <w:r>
        <w:rPr>
          <w:rFonts w:eastAsia="Verdana"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shd w:fill="FFFF00" w:val="clear"/>
          <w:lang w:eastAsia="pt-BR"/>
        </w:rPr>
        <w:t>XXXXX</w:t>
      </w:r>
      <w:r>
        <w:rPr>
          <w:rFonts w:cs="Tahoma" w:ascii="Cambria" w:hAnsi="Cambria"/>
          <w:szCs w:val="24"/>
          <w:lang w:eastAsia="pt-BR"/>
        </w:rPr>
        <w:t xml:space="preserve"> </w:t>
      </w:r>
      <w:r>
        <w:rPr>
          <w:rFonts w:cs="Tahoma" w:ascii="Cambria" w:hAnsi="Cambria"/>
          <w:szCs w:val="24"/>
          <w:shd w:fill="FFFF00" w:val="clear"/>
          <w:lang w:eastAsia="pt-BR"/>
        </w:rPr>
        <w:t xml:space="preserve">(explicar a condição de elegibilidade não preenchida ou causa de inelegibilidade existente com todos os seus detalhes e requisitos, indicando as provas inclusive, bem como </w:t>
      </w:r>
      <w:r>
        <w:rPr>
          <w:rFonts w:cs="Tahoma" w:ascii="Cambria" w:hAnsi="Cambria"/>
          <w:b/>
          <w:szCs w:val="24"/>
          <w:shd w:fill="FFFF00" w:val="clear"/>
          <w:lang w:eastAsia="pt-BR"/>
        </w:rPr>
        <w:t>afastando eventuais teses defensivas do impugnado</w:t>
      </w:r>
      <w:r>
        <w:rPr>
          <w:rFonts w:cs="Tahoma" w:ascii="Cambria" w:hAnsi="Cambria"/>
          <w:szCs w:val="24"/>
          <w:shd w:fill="FFFF00" w:val="clear"/>
          <w:lang w:eastAsia="pt-BR"/>
        </w:rPr>
        <w:t>)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  <w:lang w:eastAsia="pt-BR"/>
        </w:rPr>
        <w:t xml:space="preserve">Nesse sentido, a prova produzida demonstra que </w:t>
      </w:r>
      <w:r>
        <w:rPr>
          <w:rFonts w:cs="Tahoma" w:ascii="Cambria" w:hAnsi="Cambria"/>
          <w:szCs w:val="24"/>
          <w:shd w:fill="FFFF00" w:val="clear"/>
          <w:lang w:eastAsia="pt-BR"/>
        </w:rPr>
        <w:t>XXX (abordar a prova documental e/ou testemunhal que comprova o alegado na AIRC</w:t>
      </w:r>
      <w:r>
        <w:rPr>
          <w:rFonts w:cs="Tahoma" w:ascii="Cambria" w:hAnsi="Cambria"/>
          <w:szCs w:val="24"/>
          <w:lang w:eastAsia="pt-BR"/>
        </w:rPr>
        <w:t>.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  <w:lang w:eastAsia="pt-BR"/>
        </w:rPr>
        <w:t xml:space="preserve">Sobre esta causa de inelegibilidade leciona </w:t>
      </w:r>
      <w:r>
        <w:rPr>
          <w:rFonts w:cs="Tahoma" w:ascii="Cambria" w:hAnsi="Cambria"/>
          <w:szCs w:val="24"/>
          <w:shd w:fill="FFFF00" w:val="clear"/>
          <w:lang w:eastAsia="pt-BR"/>
        </w:rPr>
        <w:t>XXXX</w:t>
      </w:r>
      <w:r>
        <w:rPr>
          <w:rFonts w:cs="Tahoma" w:ascii="Cambria" w:hAnsi="Cambria"/>
          <w:szCs w:val="24"/>
          <w:lang w:eastAsia="pt-BR"/>
        </w:rPr>
        <w:t>:</w:t>
      </w:r>
    </w:p>
    <w:p>
      <w:pPr>
        <w:pStyle w:val="Standard"/>
        <w:widowControl w:val="false"/>
        <w:spacing w:lineRule="auto" w:line="360" w:before="240" w:after="0"/>
        <w:jc w:val="both"/>
        <w:rPr>
          <w:rFonts w:ascii="Cambria" w:hAnsi="Cambria" w:cs="Tahoma"/>
          <w:szCs w:val="24"/>
          <w:shd w:fill="FFFF00" w:val="clear"/>
          <w:lang w:eastAsia="pt-BR"/>
        </w:rPr>
      </w:pPr>
      <w:r>
        <w:rPr>
          <w:rFonts w:cs="Tahoma" w:ascii="Cambria" w:hAnsi="Cambria"/>
          <w:szCs w:val="24"/>
          <w:shd w:fill="FFFF00" w:val="clear"/>
          <w:lang w:eastAsia="pt-BR"/>
        </w:rPr>
        <w:t>(citar alguma doutrina)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  <w:lang w:eastAsia="pt-BR"/>
        </w:rPr>
        <w:t>Ademais, a jurisprudência dos Tribunais Eleitorais, também confirma a necessidade do indeferimento do registro, como se observa:</w:t>
      </w:r>
    </w:p>
    <w:p>
      <w:pPr>
        <w:pStyle w:val="Standard"/>
        <w:widowControl w:val="false"/>
        <w:spacing w:lineRule="auto" w:line="360" w:before="240" w:after="0"/>
        <w:jc w:val="both"/>
        <w:rPr>
          <w:rFonts w:ascii="Cambria" w:hAnsi="Cambria" w:cs="Tahoma"/>
          <w:szCs w:val="24"/>
          <w:shd w:fill="FFFF00" w:val="clear"/>
          <w:lang w:eastAsia="pt-BR"/>
        </w:rPr>
      </w:pPr>
      <w:r>
        <w:rPr>
          <w:rFonts w:cs="Tahoma" w:ascii="Cambria" w:hAnsi="Cambria"/>
          <w:szCs w:val="24"/>
          <w:shd w:fill="FFFF00" w:val="clear"/>
          <w:lang w:eastAsia="pt-BR"/>
        </w:rPr>
        <w:t>(citar 1 ou mais jurisprudências do TSE ou de TREs)</w:t>
      </w:r>
    </w:p>
    <w:p>
      <w:pPr>
        <w:pStyle w:val="Standard"/>
        <w:widowControl w:val="false"/>
        <w:spacing w:lineRule="auto" w:line="360" w:before="240" w:after="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szCs w:val="24"/>
          <w:lang w:eastAsia="pt-BR"/>
        </w:rPr>
        <w:t>Dessa forma, verificando-se que o candidato não atende todos os requisitos constitucionais e legais para ser candidato, o indeferimento do pedido de registro de candidatura é medida que se impõe.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szCs w:val="24"/>
          <w:lang w:eastAsia="pt-BR"/>
        </w:rPr>
      </w:pPr>
      <w:r>
        <w:rPr>
          <w:rFonts w:cs="Tahoma" w:ascii="Cambria" w:hAnsi="Cambria"/>
          <w:szCs w:val="24"/>
          <w:lang w:eastAsia="pt-BR"/>
        </w:rPr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b/>
          <w:b/>
          <w:szCs w:val="24"/>
        </w:rPr>
      </w:pPr>
      <w:r>
        <w:rPr>
          <w:rFonts w:cs="Tahoma" w:ascii="Cambria" w:hAnsi="Cambria"/>
          <w:b/>
          <w:szCs w:val="24"/>
        </w:rPr>
        <w:t>III – Do pedido</w:t>
      </w:r>
    </w:p>
    <w:p>
      <w:pPr>
        <w:pStyle w:val="Standard"/>
        <w:spacing w:lineRule="auto" w:line="360"/>
        <w:ind w:firstLine="1701"/>
        <w:jc w:val="both"/>
        <w:rPr>
          <w:rFonts w:ascii="Cambria" w:hAnsi="Cambria" w:cs="Tahoma"/>
          <w:b/>
          <w:b/>
          <w:szCs w:val="24"/>
        </w:rPr>
      </w:pPr>
      <w:r>
        <w:rPr>
          <w:rFonts w:cs="Tahoma" w:ascii="Cambria" w:hAnsi="Cambria"/>
          <w:b/>
          <w:szCs w:val="24"/>
        </w:rPr>
      </w:r>
    </w:p>
    <w:p>
      <w:pPr>
        <w:pStyle w:val="Standard"/>
        <w:widowControl/>
        <w:suppressAutoHyphens w:val="true"/>
        <w:overflowPunct w:val="false"/>
        <w:bidi w:val="0"/>
        <w:spacing w:lineRule="auto" w:line="360" w:before="0" w:after="0"/>
        <w:ind w:firstLine="1701"/>
        <w:jc w:val="both"/>
        <w:rPr>
          <w:rFonts w:ascii="Cambria" w:hAnsi="Cambria"/>
        </w:rPr>
      </w:pPr>
      <w:r>
        <w:rPr>
          <w:rFonts w:cs="Tahoma" w:ascii="Cambria" w:hAnsi="Cambria"/>
          <w:color w:val="000000"/>
          <w:szCs w:val="24"/>
        </w:rPr>
        <w:t xml:space="preserve">Ante o exposto, o Ministério Público Eleitoral requer seja julgada </w:t>
      </w:r>
      <w:r>
        <w:rPr>
          <w:rFonts w:cs="Tahoma" w:ascii="Cambria" w:hAnsi="Cambria"/>
          <w:b/>
          <w:color w:val="000000"/>
          <w:szCs w:val="24"/>
        </w:rPr>
        <w:t xml:space="preserve">procedente </w:t>
      </w:r>
      <w:r>
        <w:rPr>
          <w:rFonts w:cs="Tahoma" w:ascii="Cambria" w:hAnsi="Cambria"/>
          <w:color w:val="000000"/>
          <w:szCs w:val="24"/>
        </w:rPr>
        <w:t xml:space="preserve">a Ação de Impugnação de Registro de Candidatura apresentada pelo Ministério Público Eleitoral, com o consequente indeferimento do registro de candidatura do impugnado </w:t>
      </w:r>
      <w:r>
        <w:rPr>
          <w:rFonts w:cs="Tahoma" w:ascii="Cambria" w:hAnsi="Cambria"/>
          <w:color w:val="000000"/>
          <w:szCs w:val="24"/>
          <w:shd w:fill="FFFF00" w:val="clear"/>
        </w:rPr>
        <w:t>XXXX.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/>
      </w:r>
    </w:p>
    <w:p>
      <w:pPr>
        <w:pStyle w:val="Textbody"/>
        <w:spacing w:lineRule="auto" w:line="360"/>
        <w:ind w:hanging="0"/>
        <w:rPr>
          <w:sz w:val="24"/>
          <w:szCs w:val="24"/>
        </w:rPr>
      </w:pPr>
      <w:r>
        <w:rPr>
          <w:rFonts w:cs="Tahoma" w:ascii="Cambria" w:hAnsi="Cambria"/>
          <w:b/>
          <w:sz w:val="24"/>
          <w:szCs w:val="24"/>
          <w:shd w:fill="FFFF00" w:val="clear"/>
        </w:rPr>
        <w:t>Muita Atenção:</w:t>
      </w:r>
    </w:p>
    <w:p>
      <w:pPr>
        <w:pStyle w:val="Textbody"/>
        <w:spacing w:lineRule="auto" w:line="360"/>
        <w:ind w:hanging="0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  <w:shd w:fill="FFFF00" w:val="clear"/>
        </w:rPr>
        <w:t>Caso a candidatura impugnada seja da cota de gênero minoritária, cujo indeferimento acarrete um percentual abaixo de 30% no respectivo partido, acrescentar o seguinte parágrafo no final no pedido:</w:t>
      </w:r>
    </w:p>
    <w:p>
      <w:pPr>
        <w:pStyle w:val="Textbody"/>
        <w:widowControl/>
        <w:suppressAutoHyphens w:val="true"/>
        <w:overflowPunct w:val="false"/>
        <w:bidi w:val="0"/>
        <w:spacing w:lineRule="auto" w:line="360" w:before="0" w:after="0"/>
        <w:ind w:hanging="0"/>
        <w:jc w:val="left"/>
        <w:rPr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Caso seja indeferido o registro de candidatura conforme pleiteado, constata-se que o Partido deixará de atender a cota de gênero prevista no art. 17 da Resolução TSE n. 23.609/2019, motivo pelo qual </w:t>
      </w:r>
      <w:r>
        <w:rPr>
          <w:rFonts w:cs="Tahoma" w:ascii="Cambria" w:hAnsi="Cambria"/>
          <w:b/>
          <w:sz w:val="24"/>
          <w:szCs w:val="24"/>
        </w:rPr>
        <w:t>requer-se,</w:t>
      </w:r>
      <w:r>
        <w:rPr>
          <w:rFonts w:cs="Tahoma" w:ascii="Cambria" w:hAnsi="Cambria"/>
          <w:sz w:val="24"/>
          <w:szCs w:val="24"/>
        </w:rPr>
        <w:t xml:space="preserve"> desde já, a imediata intimação do respectivo Partido para adequação do percentual mínimo da cota de gênero.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auto"/>
      <w:kern w:val="0"/>
      <w:sz w:val="20"/>
      <w:szCs w:val="20"/>
      <w:lang w:bidi="ar-SA" w:val="pt-BR" w:eastAsia="zh-CN"/>
    </w:rPr>
  </w:style>
  <w:style w:type="paragraph" w:styleId="Textbody">
    <w:name w:val="Text body"/>
    <w:basedOn w:val="Standard"/>
    <w:qFormat/>
    <w:pPr>
      <w:widowControl w:val="false"/>
      <w:spacing w:before="0" w:after="120"/>
    </w:pPr>
    <w:rPr>
      <w:rFonts w:ascii="Times New Roman" w:hAnsi="Times New Roman" w:eastAsia="Lucida Sans Unicode" w:cs="Tahoma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3</Pages>
  <Words>517</Words>
  <Characters>2960</Characters>
  <CharactersWithSpaces>3453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2023-06-07T05:38:21Z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