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 xml:space="preserve">Tratam os autos de Registro de Candidatura apresentado pelo </w:t>
      </w:r>
      <w:r>
        <w:rPr>
          <w:rFonts w:eastAsia="Times New Roman" w:cs="Times New Roman" w:ascii="Cambria" w:hAnsi="Cambria"/>
          <w:b/>
          <w:bCs/>
          <w:color w:val="000000"/>
          <w:sz w:val="24"/>
          <w:szCs w:val="24"/>
          <w:lang w:eastAsia="pt-BR"/>
        </w:rPr>
        <w:t>Partido</w:t>
      </w: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>, relativo à candidatura de ______________ ao cargo de _____, nos termos da Resolução TSE nº 23.609/2019.</w:t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 xml:space="preserve">Na autorização que o candidato deu ao partido para o pedido de registro, qualificou-se como </w:t>
      </w:r>
      <w:r>
        <w:rPr>
          <w:rFonts w:eastAsia="Times New Roman" w:cs="Times New Roman" w:ascii="Cambria" w:hAnsi="Cambria"/>
          <w:b/>
          <w:bCs/>
          <w:color w:val="000000"/>
          <w:sz w:val="24"/>
          <w:szCs w:val="24"/>
          <w:lang w:eastAsia="pt-BR"/>
        </w:rPr>
        <w:t>Conselheiro Municipal de Educação</w:t>
      </w: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>.</w:t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 xml:space="preserve">O Art. 1º, Inc. II a VII, da Lei das Inelegibilidades – Lei Complementar n.º 64/90 – estabelece que os servidores públicos, estatutários ou não, SÃO INELEGÍVEIS SE NÃO SE AFASTAREM, </w:t>
      </w:r>
      <w:r>
        <w:rPr>
          <w:rFonts w:eastAsia="Times New Roman" w:cs="Times New Roman" w:ascii="Cambria" w:hAnsi="Cambria"/>
          <w:b/>
          <w:color w:val="000000"/>
          <w:sz w:val="24"/>
          <w:szCs w:val="24"/>
          <w:lang w:eastAsia="pt-BR"/>
        </w:rPr>
        <w:t>de fato e de direito</w:t>
      </w: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>, de suas funções nos prazos ali mencionados.</w:t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>Ocorre que os membros de Conselhos Municipais devem ser equiparados a servidores públicos para fins eleitorais, o que, portanto, pressupõe sua desincompatibilização 3 meses antes do pleito.</w:t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>Essa incompatibilidade entre o exercício de função pública e a candidatura justifica-se pela necessidade de se salvaguardar a igualdade de forças na disputa eleitoral. Com efeito, milita em favor dos funcionários públicos a superioridade de oportunidades relativamente aos demais adversários, podendo advir, daí, desequilíbrios no processo eleitoral.</w:t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 xml:space="preserve">Constituindo-se o "status" de servidor público em causa de inelegibilidade, cabe ao candidato, para nela não incorrer, desincompatibilizar-se de suas funções, no prazo que a lei estabelece. </w:t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>E mais, cabe-lhe, junto ao pedido de seu registro, provar documentalmente sua efetiva desincompatibilização.</w:t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>Não havendo a desincompatibilização de Conselheiro Municipal de Educação, como equiparado ao servidor público em geral, incide a inelegibilidade prevista no artigo 1º, inciso VII, da Lei Complementar n.º 64/90, conforme entendimento dos Tribunais Eleitorais:</w:t>
      </w:r>
    </w:p>
    <w:p>
      <w:pPr>
        <w:pStyle w:val="Normal"/>
        <w:spacing w:before="120" w:after="120"/>
        <w:ind w:left="2655" w:right="-284" w:hanging="0"/>
        <w:jc w:val="both"/>
        <w:rPr>
          <w:rFonts w:ascii="Cambria" w:hAnsi="Cambria" w:cs="Times New Roman"/>
          <w:b/>
          <w:b/>
          <w:bCs/>
          <w:sz w:val="22"/>
          <w:szCs w:val="22"/>
        </w:rPr>
      </w:pPr>
      <w:r>
        <w:rPr>
          <w:rFonts w:cs="Times New Roman" w:ascii="Cambria" w:hAnsi="Cambria"/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120"/>
        <w:ind w:left="2268" w:right="-283" w:hanging="0"/>
        <w:jc w:val="both"/>
        <w:rPr/>
      </w:pPr>
      <w:r>
        <w:rPr>
          <w:rFonts w:cs="Times New Roman" w:ascii="Cambria" w:hAnsi="Cambria"/>
          <w:b/>
          <w:bCs/>
          <w:sz w:val="22"/>
          <w:szCs w:val="22"/>
        </w:rPr>
        <w:t>ELEIÇÕES 2016. REGISTRO. CANDIDATO. VEREADOR. DECISÕES. INSTÂNCIAS ORDINÁRIAS. INDEFERIMENTO. DESINCOMPATIBILIZAÇÃO. CONSELHO MUNICIPAL. NÃO COMPROVAÇÃO.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120"/>
        <w:ind w:left="2268" w:right="-283" w:hanging="0"/>
        <w:jc w:val="both"/>
        <w:rPr/>
      </w:pPr>
      <w:r>
        <w:rPr>
          <w:rFonts w:cs="Times New Roman" w:ascii="Cambria" w:hAnsi="Cambria"/>
          <w:bCs/>
          <w:sz w:val="22"/>
          <w:szCs w:val="22"/>
        </w:rPr>
        <w:t>1. Embora o candidato sustente que houve indevida inversão do ônus da prova quanto à conclusão da falta da sua desincompatibilização do cargo de membro de conselho municipal, fato é que a Corte Regional Eleitoral apontou que ele, em momento algum, refutou a informação de que era presidente ou membro daquele órgão, restringindo-se a defender a impossibilidade de equiparação das funções ao cargo de servidor público e a não incidência da regra do art. 1º, II, l, da LC 64/90.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120"/>
        <w:ind w:left="2268" w:right="-283" w:hanging="0"/>
        <w:jc w:val="both"/>
        <w:rPr/>
      </w:pPr>
      <w:r>
        <w:rPr>
          <w:rFonts w:cs="Times New Roman" w:ascii="Cambria" w:hAnsi="Cambria"/>
          <w:b/>
          <w:bCs/>
          <w:sz w:val="22"/>
          <w:szCs w:val="22"/>
        </w:rPr>
        <w:t>2. Conforme consignado na decisão regional, o Conselho Municipal de Desenvolvimento Rural Sustentável da referida localidade tem competência para executar ações atinentes ao plano municipal de desenvolvimento e, em situações similares, o Tribunal tem entendido exigível o afastamento do candidato. Precedentes: AgR-REspe 30.155, rel. Min. Eros Grau, PSESS em 30.10.2008; AgR-REspe 22.493, rel. Min. Luiz Carlos Madeira, PSESS em 13.9.2004.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120"/>
        <w:ind w:left="2268" w:right="-283" w:hanging="0"/>
        <w:jc w:val="both"/>
        <w:rPr/>
      </w:pPr>
      <w:r>
        <w:rPr>
          <w:rFonts w:cs="Times New Roman" w:ascii="Cambria" w:hAnsi="Cambria"/>
          <w:bCs/>
          <w:sz w:val="22"/>
          <w:szCs w:val="22"/>
        </w:rPr>
        <w:t>Agravo regimental a que se nega provimento.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120"/>
        <w:ind w:left="2268" w:right="-283" w:hanging="0"/>
        <w:jc w:val="both"/>
        <w:rPr/>
      </w:pPr>
      <w:r>
        <w:rPr>
          <w:rFonts w:cs="Times New Roman" w:ascii="Cambria" w:hAnsi="Cambria"/>
          <w:sz w:val="22"/>
          <w:szCs w:val="22"/>
        </w:rPr>
        <w:t xml:space="preserve">(RESPE-Agravo Regimental em Recurso Especial Eleitoral nº 159-76 - ESPINOSA – MG/Acórdão de 13/12/2016, Relator(a) Min. Henrique Neves Da Silva, Publicação:PSESS - Publicado em Sessão, Data 13/12/2016). 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120"/>
        <w:ind w:left="2268" w:right="-283" w:hanging="0"/>
        <w:jc w:val="both"/>
        <w:rPr/>
      </w:pPr>
      <w:r>
        <w:rPr>
          <w:rFonts w:cs="Times New Roman" w:ascii="Cambria" w:hAnsi="Cambria"/>
          <w:sz w:val="22"/>
          <w:szCs w:val="22"/>
        </w:rPr>
        <w:br/>
      </w:r>
      <w:r>
        <w:rPr>
          <w:rFonts w:cs="Times New Roman" w:ascii="Cambria" w:hAnsi="Cambria"/>
          <w:b/>
          <w:bCs/>
          <w:sz w:val="22"/>
          <w:szCs w:val="22"/>
        </w:rPr>
        <w:t>Recurso Eleitoral. Registro de candidatura - RRC. Candidato. Vereador. Eleições 2012. Quitação eleitoral. Impugnação. Improcedência. Notícia de inelegibilidade. Desincompatibilização. Registro indeferido</w:t>
      </w:r>
      <w:r>
        <w:rPr>
          <w:rFonts w:cs="Times New Roman" w:ascii="Cambria" w:hAnsi="Cambria"/>
          <w:sz w:val="22"/>
          <w:szCs w:val="22"/>
        </w:rPr>
        <w:t xml:space="preserve">. 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120"/>
        <w:ind w:left="2268" w:right="-283" w:hanging="0"/>
        <w:jc w:val="both"/>
        <w:rPr/>
      </w:pPr>
      <w:r>
        <w:rPr>
          <w:rFonts w:cs="Times New Roman" w:ascii="Cambria" w:hAnsi="Cambria"/>
          <w:sz w:val="22"/>
          <w:szCs w:val="22"/>
        </w:rPr>
        <w:t xml:space="preserve">1° Recurso. O pagamento de multa decorrente de infração aos deveres da condição de eleitor, mesmo durante os procedimentos destinados ao registro da candidatura do infrator, autoriza a concessão de quitação eleitoral. Enunciado de Súmula 17 deste Tribunal. Recurso não provido. 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120"/>
        <w:ind w:left="2268" w:right="-283" w:hanging="0"/>
        <w:jc w:val="both"/>
        <w:rPr/>
      </w:pPr>
      <w:r>
        <w:rPr>
          <w:rFonts w:cs="Times New Roman" w:ascii="Cambria" w:hAnsi="Cambria"/>
          <w:sz w:val="22"/>
          <w:szCs w:val="22"/>
        </w:rPr>
        <w:t>2° Recurso. Membros de conselhos municipais são equiparados a servidores públicos para fins eleitorais, exigindo-se a sua desincompatibilização, uma vez que a eles competem relevantes funções públicas. Recurso não provido, (grifo nosso)</w:t>
        <w:br/>
        <w:t>(TRE- MG. RE - RECURSO ELEITORAL n° 14224 - Corinto/MG. Acórdão d</w:t>
      </w:r>
      <w:r>
        <w:rPr>
          <w:rFonts w:cs="Times New Roman" w:ascii="Cambria" w:hAnsi="Cambria"/>
          <w:color w:val="000000"/>
          <w:sz w:val="22"/>
          <w:szCs w:val="22"/>
        </w:rPr>
        <w:t xml:space="preserve">e </w:t>
      </w:r>
      <w:r>
        <w:rPr>
          <w:rStyle w:val="InternetLink"/>
          <w:rFonts w:cs="Times New Roman" w:ascii="Cambria" w:hAnsi="Cambria"/>
          <w:color w:val="000000"/>
          <w:sz w:val="22"/>
          <w:szCs w:val="22"/>
        </w:rPr>
        <w:t>2210812012</w:t>
      </w:r>
      <w:r>
        <w:rPr>
          <w:rFonts w:cs="Times New Roman" w:ascii="Cambria" w:hAnsi="Cambria"/>
          <w:color w:val="000000"/>
          <w:sz w:val="22"/>
          <w:szCs w:val="22"/>
        </w:rPr>
        <w:t xml:space="preserve">. </w:t>
      </w:r>
      <w:r>
        <w:rPr>
          <w:rFonts w:cs="Times New Roman" w:ascii="Cambria" w:hAnsi="Cambria"/>
          <w:sz w:val="22"/>
          <w:szCs w:val="22"/>
        </w:rPr>
        <w:t xml:space="preserve">Relator(a) MAURÍCIO TORRES SOARES. Publicação: PSESS -Publicado em Sessão, Data 21/08/2012) </w:t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 xml:space="preserve">Diante do exposto, se manifesta este representante ministerial pelo </w:t>
      </w:r>
      <w:r>
        <w:rPr>
          <w:rFonts w:eastAsia="Times New Roman" w:cs="Times New Roman" w:ascii="Cambria" w:hAnsi="Cambria"/>
          <w:b/>
          <w:bCs/>
          <w:color w:val="000000"/>
          <w:sz w:val="24"/>
          <w:szCs w:val="24"/>
          <w:lang w:eastAsia="pt-BR"/>
        </w:rPr>
        <w:t>indeferimento do pedido de registro</w:t>
      </w: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 xml:space="preserve"> formulado por ________________, pelas razões jurídicas acima elencadas.</w:t>
      </w:r>
    </w:p>
    <w:p>
      <w:pPr>
        <w:pStyle w:val="Normal"/>
        <w:widowControl/>
        <w:suppressAutoHyphens w:val="true"/>
        <w:bidi w:val="0"/>
        <w:spacing w:lineRule="auto" w:line="360" w:before="280" w:after="0"/>
        <w:ind w:left="0" w:right="0" w:firstLine="1701"/>
        <w:jc w:val="both"/>
        <w:rPr>
          <w:rFonts w:ascii="Cambria" w:hAnsi="Cambria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mbria" w:hAnsi="Cambria"/>
          <w:color w:val="000000"/>
          <w:sz w:val="24"/>
          <w:szCs w:val="24"/>
          <w:lang w:eastAsia="pt-BR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280" w:after="0"/>
        <w:ind w:left="0" w:right="0" w:firstLine="2835"/>
        <w:jc w:val="both"/>
        <w:rPr>
          <w:rFonts w:ascii="Cambria" w:hAnsi="Cambria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mbria" w:hAnsi="Cambria"/>
          <w:b/>
          <w:bCs/>
          <w:color w:val="000000"/>
          <w:sz w:val="24"/>
          <w:szCs w:val="24"/>
          <w:lang w:eastAsia="pt-BR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basedOn w:val="Fontepargpadro1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583</Words>
  <Characters>3600</Characters>
  <CharactersWithSpaces>4169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2023-06-06T14:15:00Z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