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Processo n° ___________</w:t>
      </w:r>
    </w:p>
    <w:p>
      <w:pPr>
        <w:pStyle w:val="Normal"/>
        <w:spacing w:lineRule="auto" w:line="276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Protocolo no. ______________</w:t>
      </w:r>
    </w:p>
    <w:p>
      <w:pPr>
        <w:pStyle w:val="Normal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Recorrente: </w:t>
      </w:r>
      <w:r>
        <w:rPr>
          <w:rFonts w:ascii="Cambria" w:hAnsi="Cambria"/>
          <w:sz w:val="24"/>
          <w:szCs w:val="24"/>
        </w:rPr>
        <w:t>Ministério Público do Estado do Tocantins</w:t>
      </w:r>
    </w:p>
    <w:p>
      <w:pPr>
        <w:pStyle w:val="Normal"/>
        <w:spacing w:lineRule="auto" w:line="276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Recorrida: ________________</w:t>
      </w:r>
    </w:p>
    <w:p>
      <w:pPr>
        <w:pStyle w:val="Normal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 MINISTÉRIO PÚBLICO ELEITORAL</w:t>
      </w:r>
      <w:r>
        <w:rPr>
          <w:rFonts w:ascii="Cambria" w:hAnsi="Cambria"/>
          <w:sz w:val="24"/>
          <w:szCs w:val="24"/>
        </w:rPr>
        <w:t xml:space="preserve">, no uso de suas atribuições legais, através do Promotor de Justiça ao final assinado, comparece à presença de Vossa Excelência, tributando o costumeiro respeito, para apresentar, nos autos processuais em epígrafe, segundo prazo e forma legais, </w:t>
      </w:r>
      <w:r>
        <w:rPr>
          <w:rFonts w:ascii="Cambria" w:hAnsi="Cambria"/>
          <w:b/>
          <w:bCs/>
          <w:sz w:val="24"/>
          <w:szCs w:val="24"/>
        </w:rPr>
        <w:t>RECURSO INOMINADO</w:t>
      </w:r>
      <w:r>
        <w:rPr>
          <w:rFonts w:ascii="Cambria" w:hAnsi="Cambria"/>
          <w:sz w:val="24"/>
          <w:szCs w:val="24"/>
        </w:rPr>
        <w:t xml:space="preserve">, pelo que requer o seu recebimento e normal processamento de remessa destas razões à instância </w:t>
      </w:r>
      <w:r>
        <w:rPr>
          <w:rFonts w:ascii="Cambria" w:hAnsi="Cambria"/>
          <w:i/>
          <w:iCs/>
          <w:sz w:val="24"/>
          <w:szCs w:val="24"/>
        </w:rPr>
        <w:t>ad quem</w:t>
      </w:r>
      <w:r>
        <w:rPr>
          <w:rFonts w:ascii="Cambria" w:hAnsi="Cambria"/>
          <w:sz w:val="24"/>
          <w:szCs w:val="24"/>
        </w:rPr>
        <w:t>, para, em caso de conhecimento, ser reformada a sentença de fls. ____, para que se reconheça a procedência da representação formulada contra a recorrida, pela prática de propaganda eleitoral antecipada, com a aplicação das sanções legais, mediante o que a seguir se delineia.</w:t>
      </w:r>
    </w:p>
    <w:p>
      <w:pPr>
        <w:pStyle w:val="Normal"/>
        <w:spacing w:lineRule="auto" w:line="276"/>
        <w:ind w:left="0" w:right="0"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/>
        <w:ind w:left="0" w:right="0" w:firstLine="1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p>
      <w:pPr>
        <w:pStyle w:val="Normal"/>
        <w:spacing w:lineRule="auto" w:line="276"/>
        <w:ind w:left="0" w:right="0" w:firstLine="1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/>
        <w:ind w:left="0" w:right="0" w:firstLine="1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/>
        <w:ind w:left="0" w:right="0" w:firstLine="15"/>
        <w:jc w:val="center"/>
        <w:rPr>
          <w:rFonts w:ascii="Cambria" w:hAnsi="Cambria"/>
          <w:sz w:val="24"/>
          <w:szCs w:val="24"/>
        </w:rPr>
      </w:pPr>
      <w:r>
        <w:rPr/>
      </w:r>
      <w:r>
        <w:br w:type="page"/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Processo n° ___________</w:t>
      </w:r>
    </w:p>
    <w:p>
      <w:pPr>
        <w:pStyle w:val="Normal"/>
        <w:spacing w:lineRule="auto" w:line="276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Protocolo no. ______________</w:t>
      </w:r>
    </w:p>
    <w:p>
      <w:pPr>
        <w:pStyle w:val="Normal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Recorrente: </w:t>
      </w:r>
      <w:r>
        <w:rPr>
          <w:rFonts w:ascii="Cambria" w:hAnsi="Cambria"/>
          <w:sz w:val="24"/>
          <w:szCs w:val="24"/>
        </w:rPr>
        <w:t>Ministério Público do Estado do Tocantins</w:t>
      </w:r>
    </w:p>
    <w:p>
      <w:pPr>
        <w:pStyle w:val="Normal"/>
        <w:spacing w:lineRule="auto" w:line="276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Recorrida: ________________</w:t>
      </w:r>
    </w:p>
    <w:p>
      <w:pPr>
        <w:pStyle w:val="Normal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EGRÉGIO TRIBUNAL REGIONAL ELEITORAL DO TOCANTINS</w:t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RAZÕES DO RECURSO INOMINADO</w:t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EXCELENTÍSSIMO(A)  SENHOR(A) DESEMBARGADOR(A) RELATOR(A)</w:t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 Ministério Público Eleitoral</w:t>
      </w:r>
      <w:r>
        <w:rPr>
          <w:rFonts w:ascii="Cambria" w:hAnsi="Cambria"/>
          <w:sz w:val="24"/>
          <w:szCs w:val="24"/>
        </w:rPr>
        <w:t xml:space="preserve"> por conduto do Promotor de Justiça infrassignatário, comparece à insigne presença desse Tribunal Regional Eleitoral do Tocantins, para expor que </w:t>
      </w:r>
      <w:r>
        <w:rPr>
          <w:rFonts w:ascii="Cambria" w:hAnsi="Cambria"/>
          <w:b/>
          <w:bCs/>
          <w:sz w:val="24"/>
          <w:szCs w:val="24"/>
        </w:rPr>
        <w:t>a decisão recorrida merece ser reformada</w:t>
      </w:r>
      <w:r>
        <w:rPr>
          <w:rFonts w:ascii="Cambria" w:hAnsi="Cambria"/>
          <w:sz w:val="24"/>
          <w:szCs w:val="24"/>
        </w:rPr>
        <w:t>, eis que proferida em desacordo com a melhor análise das provas coligidas aos presentes autos, conforme adiante se demonstrará.</w:t>
      </w:r>
    </w:p>
    <w:p>
      <w:pPr>
        <w:pStyle w:val="Normal"/>
        <w:spacing w:lineRule="auto" w:line="276"/>
        <w:ind w:left="0" w:right="0" w:firstLine="255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/>
        <w:ind w:left="0" w:right="0" w:firstLine="255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/>
        <w:ind w:left="0" w:right="0" w:firstLine="255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hd w:val="clear" w:fill="CCCCCC"/>
        <w:spacing w:lineRule="auto" w:line="276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 –  TEMPESTIVIDADE DO RECURSO</w:t>
      </w:r>
    </w:p>
    <w:p>
      <w:pPr>
        <w:pStyle w:val="NormalWeb"/>
        <w:shd w:val="clear" w:fill="FFFFFF"/>
        <w:spacing w:lineRule="auto" w:line="276" w:before="28" w:after="2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</w:r>
    </w:p>
    <w:p>
      <w:pPr>
        <w:pStyle w:val="NormalWeb"/>
        <w:widowControl/>
        <w:shd w:val="clear" w:fill="FFFFFF"/>
        <w:suppressAutoHyphens w:val="false"/>
        <w:overflowPunct w:val="false"/>
        <w:bidi w:val="0"/>
        <w:spacing w:lineRule="auto" w:line="276" w:before="28" w:after="28"/>
        <w:ind w:left="0" w:right="0" w:firstLine="1701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 sentença que ora se combate foi publicada no DJE TRE-TO em _________ do ano em curso, conforme certidão de fl</w:t>
      </w:r>
      <w:r>
        <w:rPr>
          <w:rFonts w:ascii="Cambria" w:hAnsi="Cambria"/>
          <w:color w:val="000000"/>
          <w:sz w:val="24"/>
          <w:szCs w:val="24"/>
        </w:rPr>
        <w:t>s</w:t>
      </w:r>
      <w:r>
        <w:rPr>
          <w:rFonts w:ascii="Cambria" w:hAnsi="Cambria"/>
          <w:color w:val="000000"/>
          <w:sz w:val="24"/>
          <w:szCs w:val="24"/>
        </w:rPr>
        <w:t xml:space="preserve">.__. </w:t>
      </w:r>
    </w:p>
    <w:p>
      <w:pPr>
        <w:pStyle w:val="NormalWeb"/>
        <w:widowControl/>
        <w:shd w:val="clear" w:fill="FFFFFF"/>
        <w:suppressAutoHyphens w:val="false"/>
        <w:overflowPunct w:val="false"/>
        <w:bidi w:val="0"/>
        <w:spacing w:lineRule="auto" w:line="276" w:before="28" w:after="28"/>
        <w:ind w:left="0" w:right="0" w:firstLine="1701"/>
        <w:jc w:val="both"/>
        <w:rPr>
          <w:rFonts w:ascii="Cambria" w:hAnsi="Cambria"/>
          <w:color w:val="000000"/>
          <w:sz w:val="24"/>
          <w:szCs w:val="24"/>
        </w:rPr>
      </w:pPr>
      <w:r>
        <w:rPr/>
      </w:r>
    </w:p>
    <w:p>
      <w:pPr>
        <w:pStyle w:val="NormalWeb"/>
        <w:widowControl/>
        <w:shd w:val="clear" w:fill="FFFFFF"/>
        <w:suppressAutoHyphens w:val="false"/>
        <w:overflowPunct w:val="false"/>
        <w:bidi w:val="0"/>
        <w:spacing w:lineRule="auto" w:line="276" w:before="28" w:after="28"/>
        <w:ind w:left="0" w:right="0" w:firstLine="1701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De acordo com a legislação de regência, Resoluções do Tribunal Superior Eleitoral e jurisprudência consolidada do TSE, o prazo para recurso de decisão que julga representação por propaganda eleitoral antecipada, é de 24 horas. </w:t>
      </w:r>
    </w:p>
    <w:p>
      <w:pPr>
        <w:pStyle w:val="NormalWeb"/>
        <w:widowControl/>
        <w:shd w:val="clear" w:fill="FFFFFF"/>
        <w:suppressAutoHyphens w:val="false"/>
        <w:overflowPunct w:val="false"/>
        <w:bidi w:val="0"/>
        <w:spacing w:lineRule="auto" w:line="276" w:before="28" w:after="28"/>
        <w:ind w:left="0" w:right="0" w:firstLine="1701"/>
        <w:jc w:val="both"/>
        <w:rPr>
          <w:rFonts w:ascii="Cambria" w:hAnsi="Cambria"/>
          <w:color w:val="000000"/>
          <w:sz w:val="24"/>
          <w:szCs w:val="24"/>
        </w:rPr>
      </w:pPr>
      <w:r>
        <w:rPr/>
      </w:r>
    </w:p>
    <w:p>
      <w:pPr>
        <w:pStyle w:val="NormalWeb"/>
        <w:widowControl/>
        <w:shd w:val="clear" w:fill="FFFFFF"/>
        <w:suppressAutoHyphens w:val="false"/>
        <w:overflowPunct w:val="false"/>
        <w:bidi w:val="0"/>
        <w:spacing w:lineRule="auto" w:line="276" w:before="28" w:after="28"/>
        <w:ind w:left="0" w:right="0" w:firstLine="1701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Por outro lado, os prazos processuais para o Ministério Público começam a fluir após sua intimação pessoal, conforme redação da lei orgânica nacional do MP e legislação processual civil, aplicável à espécie.</w:t>
      </w:r>
      <w:r>
        <w:rPr>
          <w:rFonts w:ascii="Cambria" w:hAnsi="Cambria"/>
          <w:color w:val="C9211E"/>
          <w:sz w:val="24"/>
          <w:szCs w:val="24"/>
        </w:rPr>
        <w:t>observat que o modelo aborda caso julgado fora do período eleitoral, com intimação pessoal</w:t>
      </w:r>
    </w:p>
    <w:p>
      <w:pPr>
        <w:pStyle w:val="NormalWeb"/>
        <w:widowControl/>
        <w:shd w:val="clear" w:fill="FFFFFF"/>
        <w:suppressAutoHyphens w:val="false"/>
        <w:bidi w:val="0"/>
        <w:spacing w:lineRule="auto" w:line="276" w:before="28" w:after="28"/>
        <w:ind w:left="2268" w:right="0" w:hanging="0"/>
        <w:jc w:val="both"/>
        <w:rPr>
          <w:rFonts w:ascii="Cambria" w:hAnsi="Cambria"/>
          <w:color w:val="000000"/>
          <w:sz w:val="22"/>
          <w:szCs w:val="22"/>
        </w:rPr>
      </w:pPr>
      <w:r>
        <w:rPr/>
      </w:r>
    </w:p>
    <w:p>
      <w:pPr>
        <w:pStyle w:val="NormalWeb"/>
        <w:widowControl/>
        <w:shd w:val="clear" w:fill="FFFFFF"/>
        <w:suppressAutoHyphens w:val="false"/>
        <w:bidi w:val="0"/>
        <w:spacing w:lineRule="auto" w:line="276" w:before="28" w:after="28"/>
        <w:ind w:left="2268" w:right="0" w:hanging="0"/>
        <w:jc w:val="both"/>
        <w:rPr/>
      </w:pPr>
      <w:r>
        <w:rPr>
          <w:rFonts w:ascii="Cambria" w:hAnsi="Cambria"/>
          <w:color w:val="000000"/>
          <w:sz w:val="22"/>
          <w:szCs w:val="22"/>
        </w:rPr>
        <w:t>[...] Ministério Público. Intimação pessoal. Propaganda irregular. Retirada. Multa. Lei n</w:t>
      </w:r>
      <w:r>
        <w:rPr>
          <w:rFonts w:ascii="Cambria" w:hAnsi="Cambria"/>
          <w:color w:val="000000"/>
          <w:sz w:val="22"/>
          <w:szCs w:val="22"/>
          <w:vertAlign w:val="superscript"/>
        </w:rPr>
        <w:t>o</w:t>
      </w:r>
      <w:r>
        <w:rPr>
          <w:rStyle w:val="Appleconvertedspace"/>
          <w:rFonts w:ascii="Cambria" w:hAnsi="Cambria"/>
          <w:color w:val="000000"/>
          <w:sz w:val="22"/>
          <w:szCs w:val="22"/>
          <w:vertAlign w:val="superscript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9.504/97, art. 37, § 1</w:t>
      </w:r>
      <w:r>
        <w:rPr>
          <w:rFonts w:ascii="Cambria" w:hAnsi="Cambria"/>
          <w:color w:val="000000"/>
          <w:sz w:val="22"/>
          <w:szCs w:val="22"/>
          <w:vertAlign w:val="superscript"/>
        </w:rPr>
        <w:t>o</w:t>
      </w:r>
      <w:r>
        <w:rPr>
          <w:rFonts w:ascii="Cambria" w:hAnsi="Cambria"/>
          <w:color w:val="000000"/>
          <w:sz w:val="22"/>
          <w:szCs w:val="22"/>
        </w:rPr>
        <w:t>; art. 42, § 11. [...] 2. O prazo recursal para o Ministério Público passa a correr a partir da sua intimação pessoal. (LC n</w:t>
      </w:r>
      <w:r>
        <w:rPr>
          <w:rFonts w:ascii="Cambria" w:hAnsi="Cambria"/>
          <w:color w:val="000000"/>
          <w:sz w:val="22"/>
          <w:szCs w:val="22"/>
          <w:vertAlign w:val="superscript"/>
        </w:rPr>
        <w:t>o</w:t>
      </w:r>
      <w:r>
        <w:rPr>
          <w:rFonts w:ascii="Cambria" w:hAnsi="Cambria"/>
          <w:color w:val="000000"/>
          <w:sz w:val="22"/>
          <w:szCs w:val="22"/>
        </w:rPr>
        <w:t xml:space="preserve">75/93). [...]” </w:t>
      </w:r>
      <w:hyperlink r:id="rId2">
        <w:r>
          <w:rPr>
            <w:rStyle w:val="LinkdaInternet"/>
            <w:rFonts w:ascii="Cambria" w:hAnsi="Cambria"/>
            <w:i/>
            <w:iCs/>
            <w:color w:val="000000"/>
            <w:sz w:val="22"/>
            <w:szCs w:val="22"/>
          </w:rPr>
          <w:t>(Ac. N</w:t>
        </w:r>
      </w:hyperlink>
      <w:hyperlink r:id="rId3">
        <w:r>
          <w:rPr>
            <w:rStyle w:val="LinkdaInternet"/>
            <w:rFonts w:ascii="Cambria" w:hAnsi="Cambria"/>
            <w:i/>
            <w:iCs/>
            <w:color w:val="000000"/>
            <w:sz w:val="22"/>
            <w:szCs w:val="22"/>
            <w:vertAlign w:val="superscript"/>
          </w:rPr>
          <w:t>o</w:t>
        </w:r>
      </w:hyperlink>
      <w:hyperlink r:id="rId4">
        <w:r>
          <w:rPr>
            <w:rStyle w:val="Appleconvertedspace"/>
            <w:rFonts w:ascii="Cambria" w:hAnsi="Cambria"/>
            <w:i/>
            <w:iCs/>
            <w:color w:val="000000"/>
            <w:sz w:val="22"/>
            <w:szCs w:val="22"/>
            <w:vertAlign w:val="superscript"/>
          </w:rPr>
          <w:t xml:space="preserve"> </w:t>
        </w:r>
      </w:hyperlink>
      <w:hyperlink r:id="rId5">
        <w:r>
          <w:rPr>
            <w:rStyle w:val="LinkdaInternet"/>
            <w:rFonts w:ascii="Cambria" w:hAnsi="Cambria"/>
            <w:i/>
            <w:iCs/>
            <w:color w:val="000000"/>
            <w:sz w:val="22"/>
            <w:szCs w:val="22"/>
          </w:rPr>
          <w:t>15.750, de 1º.7.99, rel. Min. Edson Vidigal;</w:t>
        </w:r>
      </w:hyperlink>
      <w:r>
        <w:rPr>
          <w:rStyle w:val="InternetLink"/>
          <w:rFonts w:ascii="Cambria" w:hAnsi="Cambria"/>
          <w:i/>
          <w:iCs/>
          <w:color w:val="000000"/>
          <w:sz w:val="22"/>
          <w:szCs w:val="22"/>
        </w:rPr>
        <w:t>no mesmo sentido o Ac. N</w:t>
      </w:r>
      <w:r>
        <w:rPr>
          <w:rStyle w:val="InternetLink"/>
          <w:rFonts w:ascii="Cambria" w:hAnsi="Cambria"/>
          <w:i/>
          <w:iCs/>
          <w:color w:val="000000"/>
          <w:sz w:val="22"/>
          <w:szCs w:val="22"/>
          <w:vertAlign w:val="superscript"/>
        </w:rPr>
        <w:t>o</w:t>
      </w:r>
      <w:r>
        <w:rPr>
          <w:rStyle w:val="Appleconvertedspace"/>
          <w:rFonts w:ascii="Cambria" w:hAnsi="Cambria"/>
          <w:i/>
          <w:iCs/>
          <w:color w:val="000000"/>
          <w:sz w:val="22"/>
          <w:szCs w:val="22"/>
          <w:vertAlign w:val="superscript"/>
        </w:rPr>
        <w:t xml:space="preserve"> </w:t>
      </w:r>
      <w:r>
        <w:rPr>
          <w:rStyle w:val="InternetLink"/>
          <w:rFonts w:ascii="Cambria" w:hAnsi="Cambria"/>
          <w:i/>
          <w:iCs/>
          <w:color w:val="000000"/>
          <w:sz w:val="22"/>
          <w:szCs w:val="22"/>
        </w:rPr>
        <w:t>16.412, de 15.5.2001, rel. Min. Costa Porto.)</w:t>
      </w:r>
    </w:p>
    <w:p>
      <w:pPr>
        <w:pStyle w:val="NormalWeb"/>
        <w:widowControl/>
        <w:shd w:val="clear" w:fill="FFFFFF"/>
        <w:suppressAutoHyphens w:val="false"/>
        <w:bidi w:val="0"/>
        <w:spacing w:lineRule="auto" w:line="276" w:before="28" w:after="28"/>
        <w:ind w:left="2268" w:right="0" w:hanging="0"/>
        <w:jc w:val="both"/>
        <w:rPr>
          <w:rStyle w:val="InternetLink"/>
          <w:rFonts w:ascii="Cambria" w:hAnsi="Cambria"/>
          <w:i/>
          <w:i/>
          <w:iCs/>
          <w:color w:val="000000"/>
          <w:sz w:val="22"/>
          <w:szCs w:val="22"/>
        </w:rPr>
      </w:pPr>
      <w:r>
        <w:rPr/>
      </w:r>
    </w:p>
    <w:p>
      <w:pPr>
        <w:pStyle w:val="NormalWeb"/>
        <w:widowControl/>
        <w:shd w:val="clear" w:fill="FFFFFF"/>
        <w:suppressAutoHyphens w:val="false"/>
        <w:overflowPunct w:val="false"/>
        <w:bidi w:val="0"/>
        <w:spacing w:lineRule="auto" w:line="276" w:before="28" w:after="28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Sem maiores delongas, observa-se que a apresentação do presente recurso, acompanhado de suas razões ocorreu no prazo legal.</w:t>
      </w:r>
    </w:p>
    <w:p>
      <w:pPr>
        <w:pStyle w:val="NormalWeb"/>
        <w:shd w:val="clear" w:fill="FFFFFF"/>
        <w:spacing w:lineRule="auto" w:line="276" w:before="28" w:after="28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spacing w:lineRule="auto" w:line="276"/>
        <w:ind w:left="0" w:right="0" w:firstLine="255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hd w:val="clear" w:fill="CCCCCC"/>
        <w:spacing w:lineRule="auto" w:line="276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 I– CONTEXTUALIZAÇÃO DA DEMANDA</w:t>
      </w:r>
    </w:p>
    <w:p>
      <w:pPr>
        <w:pStyle w:val="Normal"/>
        <w:spacing w:lineRule="auto" w:line="276"/>
        <w:ind w:left="0" w:right="0"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Trata-se, na origem, de Representação formulada contra ________________ (fl.__), devidamente qualificada nos autos, pela prática de propaganda eleitoral antecipada.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Ministério Público Eleitoral da __ª Zona tomou conhecimento, através de notícia anônima, encaminhada através da ocorrência nº __, datada de ____________, que iria ser realizado um evento, de cunho eleitoral, no bairro ________.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Diante dessa notícia, foi instaurado Procedimento Preparatório Eleitoral, através da Portaria n.__/2024, para aprofundamento do fato noticiado. Nesse sentido, foi solicitado à Procuradoria Regional Eleitoral do Tocantins (PRE/TO) que destacasse equipe de fiscalização ao local indicado na ocorrência, no dia __, para constatação </w:t>
      </w:r>
      <w:r>
        <w:rPr>
          <w:rFonts w:ascii="Cambria" w:hAnsi="Cambria"/>
          <w:i/>
          <w:sz w:val="24"/>
          <w:szCs w:val="24"/>
        </w:rPr>
        <w:t>in loco.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Ao cumprir a diligência, a Procuradoria Regional Eleitoral encaminhou mídia eletrônica contendo fotografias e gravações do evento, que seguem em anexo. Os servidores da PRE afirmaram categoricamente:</w:t>
      </w:r>
    </w:p>
    <w:p>
      <w:pPr>
        <w:pStyle w:val="Normal"/>
        <w:spacing w:lineRule="auto" w:line="276"/>
        <w:ind w:left="0" w:right="0" w:firstLine="1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“</w:t>
      </w:r>
      <w:r>
        <w:rPr>
          <w:rFonts w:ascii="Cambria" w:hAnsi="Cambria"/>
          <w:i/>
          <w:sz w:val="22"/>
          <w:szCs w:val="22"/>
        </w:rPr>
        <w:t>Avistamos uma movimentação intensa de pessoas em uma praça nas proximidades do referido endereço, pois estava ocorrendo uma “ação social” organizada pela Senhora ___________</w:t>
      </w:r>
      <w:r>
        <w:rPr>
          <w:rFonts w:ascii="Cambria" w:hAnsi="Cambria"/>
          <w:b/>
          <w:i/>
          <w:sz w:val="22"/>
          <w:szCs w:val="22"/>
        </w:rPr>
        <w:t xml:space="preserve"> e que a mesma se diz candidata a vereadora de __________ em 2024, conforme foi dito por uma senhora que disse ser mãe dela</w:t>
      </w:r>
      <w:r>
        <w:rPr>
          <w:rFonts w:ascii="Cambria" w:hAnsi="Cambria"/>
          <w:i/>
          <w:sz w:val="22"/>
          <w:szCs w:val="22"/>
        </w:rPr>
        <w:t>. O evento oferecia sorteio de brindes, cortes de cabelo, massagens, brinquedos com pula-pula para crianças, exame de glicose, pressão arterial, retirada de Carteira de Identidade (RG), sendo todos gratuitos, com exceção da segunda via do RG que agora é pago.”</w:t>
      </w:r>
    </w:p>
    <w:p>
      <w:pPr>
        <w:pStyle w:val="Normal"/>
        <w:widowControl/>
        <w:suppressAutoHyphens w:val="true"/>
        <w:bidi w:val="0"/>
        <w:spacing w:lineRule="auto" w:line="276"/>
        <w:ind w:left="2268" w:right="0" w:hanging="0"/>
        <w:jc w:val="both"/>
        <w:rPr>
          <w:rFonts w:ascii="Cambria" w:hAnsi="Cambria"/>
          <w:i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 local, havia uma faixa ostensiva contendo os dizeres: “</w:t>
      </w:r>
      <w:r>
        <w:rPr>
          <w:rFonts w:ascii="Cambria" w:hAnsi="Cambria"/>
          <w:i/>
          <w:sz w:val="24"/>
          <w:szCs w:val="24"/>
        </w:rPr>
        <w:t>Agradecemos _____________”.</w:t>
      </w:r>
      <w:r>
        <w:rPr>
          <w:rFonts w:ascii="Cambria" w:hAnsi="Cambria"/>
          <w:sz w:val="24"/>
          <w:szCs w:val="24"/>
        </w:rPr>
        <w:t xml:space="preserve"> Pelas imagens contidas na mídia enviada pela PRE, que foi coletada na data, pela equipe de fiscalização, fica evidente o propósito da recorrida em tentar convencer os eleitores a nela depositarem sua confiança e votos, mediante o oferecimento de serviços, brindes e outros benefícios.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Não resta dúvida que a recorrida divulgou, extemporaneamente, aos potenciais eleitores, sua candidatura em eleição municipal vindoura. Extrai-se, do conjunto probatório previamente produzido, que a recorrida realizou propaganda eleitoral antecipada, já que, para as eleições de 2024, o período de propaganda eleitoral inicia-se somente a partir do dia 16 de agosto.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Ao promover o evento, a recorrida incorreu no ilícito descrito no art. 36, parágrafo 3º da Lei 9.504/97. </w:t>
      </w:r>
    </w:p>
    <w:p>
      <w:pPr>
        <w:pStyle w:val="Normal"/>
        <w:spacing w:lineRule="auto" w:line="276"/>
        <w:ind w:left="0" w:right="0" w:firstLine="1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hd w:val="clear" w:fill="CCCCCC"/>
        <w:spacing w:lineRule="auto" w:line="276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III– DA DEFESA DA REPRESENTADA</w:t>
      </w:r>
    </w:p>
    <w:p>
      <w:pPr>
        <w:pStyle w:val="Normal"/>
        <w:spacing w:lineRule="auto" w:line="276"/>
        <w:jc w:val="center"/>
        <w:rPr>
          <w:rFonts w:ascii="Cambria" w:hAnsi="Cambria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 sua defesa, a recorrida alega, em síntese, que o evento realizado tratou-se de uma “ação social”, promovida pela representada, que é ligada à igreja ___________, agindo movida por sentimentos altruístas e religiosos.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Argumenta, ainda, que na qualidade de pessoa religiosa e altruísta, nada há com supostas pretensões político-partidários, eis que a recorrida nunca obteve seu nome escolhido em convenção partidária, conforme afirma às fls. __.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Por último, informa que em vezes pretéritas, a recorrida já promoveu eventos semelhantes, sem conotação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defesa não logrou esclarecer nem explicar como se deu a participação do Poder Público em aludido evento, eis que, para expedição de segunda via de Carteira de Identidade (RG), é necessário o apoio de agentes públicos.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>
      <w:pPr>
        <w:pStyle w:val="Corpodotextorecuado"/>
        <w:shd w:val="clear" w:fill="CCCCCC"/>
        <w:spacing w:lineRule="auto" w:line="276"/>
        <w:ind w:left="0" w:right="0" w:hanging="0"/>
        <w:rPr>
          <w:rFonts w:ascii="Cambria" w:hAnsi="Cambria" w:cs="Times New Roman"/>
          <w:b/>
          <w:b/>
          <w:bCs/>
          <w:sz w:val="24"/>
          <w:szCs w:val="24"/>
        </w:rPr>
      </w:pPr>
      <w:r>
        <w:rPr>
          <w:rFonts w:cs="Times New Roman" w:ascii="Cambria" w:hAnsi="Cambria"/>
          <w:b/>
          <w:bCs/>
          <w:sz w:val="24"/>
          <w:szCs w:val="24"/>
        </w:rPr>
        <w:t>IV – DA QUESTÃO MERITÓRIA</w:t>
      </w:r>
    </w:p>
    <w:p>
      <w:pPr>
        <w:pStyle w:val="Corpodotextorecuado"/>
        <w:spacing w:lineRule="auto" w:line="276"/>
        <w:ind w:left="0" w:right="0" w:hanging="0"/>
        <w:jc w:val="left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Corpodotextorecuado"/>
        <w:shd w:val="clear" w:fill="CCCCCC"/>
        <w:spacing w:lineRule="auto" w:line="276"/>
        <w:ind w:left="0" w:right="0" w:hanging="0"/>
        <w:jc w:val="left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b/>
          <w:color w:val="000000"/>
          <w:sz w:val="24"/>
          <w:szCs w:val="24"/>
        </w:rPr>
        <w:t xml:space="preserve">DAS RAZÕES DE FATO ENSEJADORAS DA REFORMA DO </w:t>
      </w:r>
      <w:r>
        <w:rPr>
          <w:rFonts w:cs="Times New Roman" w:ascii="Cambria" w:hAnsi="Cambria"/>
          <w:b/>
          <w:i/>
          <w:iCs/>
          <w:color w:val="000000"/>
          <w:sz w:val="24"/>
          <w:szCs w:val="24"/>
        </w:rPr>
        <w:t>DECISUM</w:t>
      </w:r>
    </w:p>
    <w:p>
      <w:pPr>
        <w:pStyle w:val="Normal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 provas coligidas aos autos são evidentes, claras a não mais poder, eis que indicam a realização de evento no bairro __________, em __________, confirmando a notícia anônima apresentada perante a Ouvidoria do Tribunal Regional Eleitoral do Tocantins.</w:t>
      </w:r>
    </w:p>
    <w:p>
      <w:pPr>
        <w:pStyle w:val="Normal"/>
        <w:spacing w:lineRule="auto" w:line="276"/>
        <w:ind w:left="0" w:right="0" w:firstLine="2552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Os servidores da Procuradoria Regional Eleitoral do Tocantins dirigiram-se ao evento, onde observaram e relataram movimentação intensa, distribuição de brindes, cortes de cabelo, medição de pressão arterial, dentre outros benefícios.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Em nenhum momento, naquele evento, houve menção a qualquer agremiação religiosa. Antes, pelo contrário, o evento era pessoal e promovido pela recorrida, tanto é que se pode observar a faixa de agradecimento a sua pessoa, estampada e estendida com destaque.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Não nos cabe questionar o altruísmo nem a religiosidade de qualquer pessoa, mas a argumentação de que o evento está ligado à </w:t>
      </w:r>
      <w:r>
        <w:rPr>
          <w:rFonts w:ascii="Cambria" w:hAnsi="Cambria"/>
          <w:sz w:val="24"/>
          <w:szCs w:val="24"/>
        </w:rPr>
        <w:t>igreja __________ não restou comprovada pela defesa.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 fotos que a defesa anexou, sob o argumento de que seriam de outros eventos promovidos pela recorrida, também não comprovam suas afirmações, eis que desacompanhadas de qualquer evidência da data de sua realização.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Não fica difícil perceber que, </w:t>
      </w:r>
      <w:r>
        <w:rPr>
          <w:rFonts w:ascii="Cambria" w:hAnsi="Cambria"/>
          <w:i/>
          <w:sz w:val="24"/>
          <w:szCs w:val="24"/>
        </w:rPr>
        <w:t>data vênia</w:t>
      </w:r>
      <w:r>
        <w:rPr>
          <w:rFonts w:ascii="Cambria" w:hAnsi="Cambria"/>
          <w:sz w:val="24"/>
          <w:szCs w:val="24"/>
        </w:rPr>
        <w:t xml:space="preserve">, que a decisão </w:t>
      </w:r>
      <w:r>
        <w:rPr>
          <w:rFonts w:ascii="Cambria" w:hAnsi="Cambria"/>
          <w:i/>
          <w:sz w:val="24"/>
          <w:szCs w:val="24"/>
        </w:rPr>
        <w:t>a quo</w:t>
      </w:r>
      <w:r>
        <w:rPr>
          <w:rFonts w:ascii="Cambria" w:hAnsi="Cambria"/>
          <w:sz w:val="24"/>
          <w:szCs w:val="24"/>
        </w:rPr>
        <w:t>, não apenas desconsiderou as provas produzidas pelo Ministério Público, assim como creditou veracidade à versão apresentada pela recorrida, que, por seu turno, não se lastreou em qualquer elemento probatório minimamente convincente.</w:t>
      </w:r>
    </w:p>
    <w:p>
      <w:pPr>
        <w:pStyle w:val="Normal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recuado"/>
        <w:shd w:val="clear" w:fill="CCCCCC"/>
        <w:spacing w:lineRule="auto" w:line="276"/>
        <w:ind w:left="0" w:right="0" w:hanging="0"/>
        <w:jc w:val="left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b/>
          <w:color w:val="000000"/>
          <w:sz w:val="24"/>
          <w:szCs w:val="24"/>
        </w:rPr>
        <w:t xml:space="preserve">DAS RAZÕES DE DIREITO ENSEJADORAS DA REFORMA DO </w:t>
      </w:r>
      <w:r>
        <w:rPr>
          <w:rFonts w:cs="Times New Roman" w:ascii="Cambria" w:hAnsi="Cambria"/>
          <w:b/>
          <w:i/>
          <w:iCs/>
          <w:color w:val="000000"/>
          <w:sz w:val="24"/>
          <w:szCs w:val="24"/>
        </w:rPr>
        <w:t>DECISUM</w:t>
      </w:r>
    </w:p>
    <w:p>
      <w:pPr>
        <w:pStyle w:val="Normal"/>
        <w:spacing w:lineRule="auto" w:line="27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As regras a serem observadas na propaganda eleitoral estão previstas na Lei das Eleições, em seus arts. 36 e 39, parágrafo 6º. A norma se destina, fundamentalmente, a possibilitar a divulgação e propagação das candidaturas, garantindo-se igualdade de oportunidades entre os candidatos e coibindo eventuais excessos e abusos que possam acarretar desequilíbrio na disputa pelo cargo eletivo.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bCs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Para as eleições municipais de 2024, a propaganda eleitoral somente será permitida após o dia 15 de agosto. Qualquer manifestação de pretenso candidato, especialmente com distribuição de brindes e outros benefícios, como se evidencia no presente caderno processual, é vedada e, portanto, passível da aplicação das sanções previstas no parágrafo 3º, do art. 36 de Lei 9.504/97.</w:t>
      </w:r>
    </w:p>
    <w:p>
      <w:pPr>
        <w:pStyle w:val="Normal"/>
        <w:spacing w:lineRule="auto" w:line="276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Conforme preceituam as normas acima colacionadas, os pré-candidatos se sujeitam à penalidade de multa por promoverem propaganda eleitoral antecipada. A conduta da recorrida, ao distribuir brindes e oferecer outros benefícios, é vedada durante o período de campanha eleitoral e, com mais razão, a proibição se estende ao período em que sequer existem candidaturas registradas. Nesses casos, o pretenso candidato não possui meios para comprovar as despesas de campanha, caracterizando-se vedação, que pode ser reconhecida como abuso do poder econômico.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57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No caso sob exame, a promoção pessoal foi realizada com a utilização de praça pública para oferecer vantagens ao eleitor, não se caracterizando o evento como simples “ação social”. Importante considerar também a mensagem de agradecimento, o que torna mais patente a motivação eleitoral, denotando-se propaganda eleitoral antecipada.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57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Ainda não houve tempo suficiente para produção de julgados proferidos de acordo com as alterações promovidas na Lei Geral das Eleições pela denominada minirreforma eleitoral (Lei nº13.165/2015), razão pela qual nos valemos de alguns julgamentos do Tribunal Superior Eleitoral sobre o assunto:</w:t>
      </w:r>
    </w:p>
    <w:p>
      <w:pPr>
        <w:pStyle w:val="Normal"/>
        <w:spacing w:lineRule="auto" w:line="27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</w:r>
    </w:p>
    <w:p>
      <w:pPr>
        <w:pStyle w:val="NormalWeb"/>
        <w:widowControl/>
        <w:shd w:val="clear" w:fill="FFFFFF"/>
        <w:suppressAutoHyphens w:val="false"/>
        <w:bidi w:val="0"/>
        <w:spacing w:lineRule="auto" w:line="276" w:before="28" w:after="28"/>
        <w:ind w:left="2268" w:right="0" w:hanging="0"/>
        <w:jc w:val="both"/>
        <w:rPr/>
      </w:pPr>
      <w:r>
        <w:rPr>
          <w:rFonts w:ascii="Cambria" w:hAnsi="Cambria"/>
          <w:color w:val="000000"/>
          <w:sz w:val="22"/>
          <w:szCs w:val="22"/>
        </w:rPr>
        <w:t>“</w:t>
      </w:r>
      <w:r>
        <w:rPr>
          <w:rFonts w:ascii="Cambria" w:hAnsi="Cambria"/>
          <w:color w:val="000000"/>
          <w:sz w:val="22"/>
          <w:szCs w:val="22"/>
        </w:rPr>
        <w:t>[...] Propaganda eleitoral antecipada. Programa partidário. Notório pré-candidato. Apresentação. [...] Promoção pessoal. Tema político-comunitário. Abordagem. Conotação eleitoral. Caráter implícito. Caracterização. Procedência. Recurso. Desprovimento. [...] 2. Nos termos da jurisprudência da Corte, deve ser entendida como propaganda eleitoral antecipada qualquer manifestação que, previamente aos três meses anteriores ao pleito e fora das exceções previstas no artigo 36-A da Lei n° 9.504/97, leve ao conhecimento geral, ainda que de forma dissimulada, a candidatura, mesmo que somente postulada, a ação política que se pretende desenvolver ou as razões que levem a inferir que o beneficiário seja o mais apto para a função pública. 3. A configuração de propaganda eleitoral antecipada não depende exclusivamente da conjugação simultânea do trinômio candidato, pedido de voto e cargo pretendido. [...] 5. Caracteriza propaganda eleitoral antecipada, ainda que de forma implícita, a veiculação de propaganda partidária para promoção de filiado, notório pré-candidato, com conotação eleitoral, que induza o eleitor à conclusão de que seria o mais apto para ocupar o cargo que pleiteia, inclusive com a divulgação de possíveis linhas de ação a serem implementadas. [...]”</w:t>
      </w:r>
      <w:hyperlink r:id="rId6">
        <w:r>
          <w:rPr>
            <w:rStyle w:val="LinkdaInternet"/>
            <w:rFonts w:ascii="Cambria" w:hAnsi="Cambria"/>
            <w:i/>
            <w:iCs/>
            <w:color w:val="800080"/>
            <w:sz w:val="22"/>
            <w:szCs w:val="22"/>
          </w:rPr>
          <w:t>(Ac. de 10.8.2010 no R-Rp nº 177413, rel. Min. Joelson Dias;</w:t>
        </w:r>
      </w:hyperlink>
      <w:r>
        <w:rPr>
          <w:rFonts w:ascii="Cambria" w:hAnsi="Cambria"/>
          <w:i/>
          <w:iCs/>
          <w:color w:val="000000"/>
          <w:sz w:val="22"/>
          <w:szCs w:val="22"/>
        </w:rPr>
        <w:t>no mesmo sentido o </w:t>
      </w:r>
      <w:hyperlink r:id="rId7">
        <w:r>
          <w:rPr>
            <w:rStyle w:val="LinkdaInternet"/>
            <w:rFonts w:ascii="Cambria" w:hAnsi="Cambria"/>
            <w:i/>
            <w:iCs/>
            <w:color w:val="800080"/>
            <w:sz w:val="22"/>
            <w:szCs w:val="22"/>
          </w:rPr>
          <w:t>Ac. de 24.6.2010 no AgR-AI nº 9936, rel. Min. Marcelo Ribeiro.)</w:t>
        </w:r>
      </w:hyperlink>
    </w:p>
    <w:p>
      <w:pPr>
        <w:pStyle w:val="NormalWeb"/>
        <w:widowControl/>
        <w:shd w:val="clear" w:fill="FFFFFF"/>
        <w:suppressAutoHyphens w:val="false"/>
        <w:bidi w:val="0"/>
        <w:spacing w:lineRule="auto" w:line="276" w:before="28" w:after="28"/>
        <w:ind w:left="2268" w:right="0" w:hanging="0"/>
        <w:jc w:val="both"/>
        <w:rPr/>
      </w:pPr>
      <w:r>
        <w:rPr>
          <w:rFonts w:ascii="Cambria" w:hAnsi="Cambria"/>
          <w:color w:val="000000"/>
          <w:sz w:val="22"/>
          <w:szCs w:val="22"/>
        </w:rPr>
        <w:t>“</w:t>
      </w:r>
      <w:r>
        <w:rPr>
          <w:rFonts w:ascii="Cambria" w:hAnsi="Cambria"/>
          <w:color w:val="000000"/>
          <w:sz w:val="22"/>
          <w:szCs w:val="22"/>
        </w:rPr>
        <w:t>[...]. Representação. Propaganda eleitoral extemporânea. Distribuição. Tabela. Copa do mundo. Decisão regional. Configuração. Infração. Art. 36, § 3º, da Lei nº 9.504/97. [...]. 1. Configura-se propaganda eleitoral extemporânea quando se evidencia a intenção de revelar ao eleitorado, mesmo que de forma dissimulada, o cargo político almejado, ação política pretendida, além dos méritos habilitantes do candidato para o exercício da função. [...].”</w:t>
      </w:r>
      <w:r>
        <w:rPr>
          <w:rStyle w:val="InternetLink"/>
          <w:rFonts w:ascii="Cambria" w:hAnsi="Cambria"/>
          <w:i/>
          <w:iCs/>
          <w:color w:val="800080"/>
          <w:sz w:val="22"/>
          <w:szCs w:val="22"/>
        </w:rPr>
        <w:t>(Ac. de 28.11.2006 no ARESPE nº 26.173, rel. Min. Caputo Bastos.)</w:t>
      </w:r>
    </w:p>
    <w:p>
      <w:pPr>
        <w:pStyle w:val="NormalWeb"/>
        <w:widowControl/>
        <w:shd w:val="clear" w:fill="FFFFFF"/>
        <w:suppressAutoHyphens w:val="false"/>
        <w:bidi w:val="0"/>
        <w:spacing w:lineRule="auto" w:line="276" w:before="28" w:after="28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Web"/>
        <w:widowControl/>
        <w:shd w:val="clear" w:fill="FFFFFF"/>
        <w:suppressAutoHyphens w:val="false"/>
        <w:overflowPunct w:val="false"/>
        <w:bidi w:val="0"/>
        <w:spacing w:lineRule="auto" w:line="276" w:before="28" w:after="28"/>
        <w:ind w:left="0" w:right="0" w:firstLine="1701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Diante das razões ora apresentadas, entende-se pela procedência da representação e necessidade de reforma da decisão de primeiro grau.</w:t>
      </w:r>
    </w:p>
    <w:p>
      <w:pPr>
        <w:pStyle w:val="Normal"/>
        <w:spacing w:lineRule="auto" w:line="276"/>
        <w:ind w:left="1134" w:right="0" w:hanging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</w:r>
    </w:p>
    <w:p>
      <w:pPr>
        <w:pStyle w:val="Normal"/>
        <w:shd w:val="clear" w:fill="CCCCCC"/>
        <w:spacing w:lineRule="auto" w:line="276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IV – DO PEDIDO DE REFORMA DA DECISÃO</w:t>
      </w:r>
    </w:p>
    <w:p>
      <w:pPr>
        <w:pStyle w:val="Normal"/>
        <w:spacing w:lineRule="auto" w:line="276"/>
        <w:ind w:left="0" w:right="0" w:firstLine="255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 w:val="false"/>
          <w:bCs w:val="false"/>
          <w:color w:val="000000"/>
          <w:sz w:val="24"/>
          <w:szCs w:val="24"/>
        </w:rPr>
        <w:t>Ante o exposto, requer o Ministério Público Eleitoral por conduto do Promotor de Justiça titular da __ª Zona Eleitoral, que seja recebido e dado provimento ao presente Recurso Inominado, reformando-se a decisão prolatada pelo Douto Juízo da __ª Zona Eleitoral, reconhecendo-se a prática de propaganda eleitoral antecipada, com a condenação da recorrida nas sanções previstas no art.36, parágrafo 3º  da Lei 9.504/97.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8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InternetLink">
    <w:name w:val="Hyperlink"/>
    <w:basedOn w:val="DefaultParagraphFont"/>
    <w:qFormat/>
    <w:rPr>
      <w:color w:val="0000FF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se.jus.br/sadJudInteiroTeor/pesquisa/actionGetBinary.do?tribunal=TSE&amp;processoNumero=15750&amp;processoClasse=RESPE&amp;decisaoData=19990701&amp;decisaoNumero=15750" TargetMode="External"/><Relationship Id="rId3" Type="http://schemas.openxmlformats.org/officeDocument/2006/relationships/hyperlink" Target="http://www.tse.jus.br/sadJudInteiroTeor/pesquisa/actionGetBinary.do?tribunal=TSE&amp;processoNumero=15750&amp;processoClasse=RESPE&amp;decisaoData=19990701&amp;decisaoNumero=15750" TargetMode="External"/><Relationship Id="rId4" Type="http://schemas.openxmlformats.org/officeDocument/2006/relationships/hyperlink" Target="http://www.tse.jus.br/sadJudInteiroTeor/pesquisa/actionGetBinary.do?tribunal=TSE&amp;processoNumero=15750&amp;processoClasse=RESPE&amp;decisaoData=19990701&amp;decisaoNumero=15750" TargetMode="External"/><Relationship Id="rId5" Type="http://schemas.openxmlformats.org/officeDocument/2006/relationships/hyperlink" Target="http://www.tse.jus.br/sadJudInteiroTeor/pesquisa/actionGetBinary.do?tribunal=TSE&amp;processoNumero=15750&amp;processoClasse=RESPE&amp;decisaoData=19990701&amp;decisaoNumero=15750" TargetMode="External"/><Relationship Id="rId6" Type="http://schemas.openxmlformats.org/officeDocument/2006/relationships/hyperlink" Target="http://www.tse.jus.br/sadJudInteiroTeor/pesquisa/actionGetBinary.do?tribunal=TSE&amp;processoNumero=177413&amp;processoClasse=RP&amp;decisaoData=20100810&amp;decisaoNumero=" TargetMode="External"/><Relationship Id="rId7" Type="http://schemas.openxmlformats.org/officeDocument/2006/relationships/hyperlink" Target="http://www.tse.jus.br/sadJudInteiroTeor/pesquisa/actionGetBinary.do?tribunal=TSE&amp;processoNumero=9936&amp;processoClasse=AI&amp;decisaoData=20100624&amp;decisaoNumero=" TargetMode="External"/><Relationship Id="rId8" Type="http://schemas.openxmlformats.org/officeDocument/2006/relationships/header" Target="head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7</Pages>
  <Words>1747</Words>
  <Characters>10225</Characters>
  <CharactersWithSpaces>11925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2023-06-08T12:05:32Z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