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Impugnante: Ministério Público Eleitoral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Impugnado(a):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O </w:t>
      </w:r>
      <w:r>
        <w:rPr>
          <w:rFonts w:cs="Cambria" w:ascii="Cambria" w:hAnsi="Cambria"/>
          <w:b/>
          <w:sz w:val="24"/>
          <w:szCs w:val="24"/>
        </w:rPr>
        <w:t>MINISTÉRIO PÚBLICO ELEITORAL</w:t>
      </w:r>
      <w:r>
        <w:rPr>
          <w:rFonts w:cs="Cambria" w:ascii="Cambria" w:hAnsi="Cambria"/>
          <w:sz w:val="24"/>
          <w:szCs w:val="24"/>
        </w:rPr>
        <w:t xml:space="preserve"> vem à presença de Vossa Excelência, nos termos da LC 64/90, apresentar manifestação nos termos abaixo.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>
          <w:rFonts w:ascii="Cambria" w:hAnsi="Cambria" w:cs="Cambria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/>
      </w:pPr>
      <w:r>
        <w:rPr>
          <w:rFonts w:cs="Cambria" w:ascii="Cambria" w:hAnsi="Cambri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Em sua contestação, o impugnado suscitou basicamente os seguintes pontos: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/>
      </w:pPr>
      <w:r>
        <w:rPr>
          <w:rFonts w:cs="Cambria" w:ascii="Cambria" w:hAnsi="Cambri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1) A EXTINÇÃO DA PRETENSÃO PUNITIVA DO ESTADO AFASTA A INELEGIBILIDADE;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/>
      </w:pPr>
      <w:r>
        <w:rPr>
          <w:rFonts w:cs="Cambria" w:ascii="Cambria" w:hAnsi="Cambri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2) A RECUPERAÇÃO DOS DIRETOS POLÍTICOS EM VIRTUDE DA SUPRACITADA EXTINÇÃO INDICA A REGULARIZAÇÃO DA ELEGIBILIDADE;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/>
      </w:pPr>
      <w:r>
        <w:rPr>
          <w:rFonts w:cs="Cambria" w:ascii="Cambria" w:hAnsi="Cambri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3) PRESCRIÇÃO QUE GEROU A EXTINÇÃO EQUIPARA-SE À PRESUNÇÃO DE INOCÊNCIA E AFASTA OS EFEITOS PRIMÁRIOS E SECUNDÁRIOS DA CONDENAÇÃO.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>
          <w:rFonts w:ascii="Cambria" w:hAnsi="Cambria" w:cs="Cambria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Dito isto, o Ministério Público Eleitoral passa a, respeitosamente, confrontar as alegativas do IMPUGNADO e, por uma questão de organização da abordagem, faz-se necessário proceder à inversão da ordem dos pontos elencados.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Começamos por concordar parcialmente com a ideia que está por trás de alegativa final do IMPUGNADO. De fato, não se questiona aqui a inocência ou culpabilidade do IMPUGNADO, até porque INELEGIBILIDADE decorre de uma sanção, mas, em regra, não deve ser entendida como sanção. Trata-se muito mais de uma inabilitação por suspeição pelo não preenchimento de certos pré-requisitos indispensáveis à grandiosidade do cargo político eletivo.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No entanto, apesar de não se afastar a presunção de inocência exaltada na contestação, a prescrição da pretensão punitiva do Estado não afasta todos os efeitos da condenação. Exemplificando, o condenado com sua punibilidade extinta em virtude da prescrição recupera seus direitos políticos, já que tais direitos, outrora suspensos, vinculam-se diretamente à pena, persistindo sua ausência enquanto o cumprimento da mesma não seja integral. Isso é bem diferente de falar em INELEGIBILIDADE, a qual perdura, por sua natureza peculiar, por um período posterior ao cumprimento da pena por expressa determinação da Lei. </w:t>
      </w:r>
      <w:r>
        <w:rPr>
          <w:rFonts w:eastAsia="Times New Roman" w:cs="Cambria" w:ascii="Cambria" w:hAnsi="Cambria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  <w:t>A decretação da inelegibilidade implica tão-somente na supressão do direito de ser votado, enquanto que o direito de votar e de se filiar, ou de permanecer filiado, conserva-se intocado.</w:t>
      </w:r>
      <w:r>
        <w:rPr>
          <w:rFonts w:eastAsia="Times New Roman" w:cs="Cambria" w:ascii="Cambria" w:hAnsi="Cambria"/>
          <w:color w:val="auto"/>
          <w:sz w:val="24"/>
          <w:szCs w:val="24"/>
          <w:lang w:val="pt-BR" w:eastAsia="zh-CN" w:bidi="ar-SA"/>
        </w:rPr>
        <w:t xml:space="preserve"> O</w:t>
      </w:r>
      <w:r>
        <w:rPr>
          <w:rFonts w:eastAsia="Times New Roman" w:cs="Cambria" w:ascii="Cambria" w:hAnsi="Cambria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  <w:t xml:space="preserve"> fenômeno da inelegibilidade consiste na ausência de capacidade eleitoral passiva do cidadão, isto é, na impossibilidade jurídica, definitiva ou temporária, de ser votado para um ou mais cargos eletivos. Todavia, a nódoa da inelegibilidade não alcança o exercício dos demais direitos políticos, como o ato de votar, manter filiação partidária e integrar órgãos de direção das agremiações políticas.</w:t>
      </w:r>
      <w:r>
        <w:rPr>
          <w:rFonts w:eastAsia="Times New Roman" w:cs="Cambria" w:ascii="Cambria" w:hAnsi="Cambria"/>
          <w:color w:val="auto"/>
          <w:sz w:val="24"/>
          <w:szCs w:val="24"/>
          <w:lang w:val="pt-BR" w:eastAsia="zh-CN" w:bidi="ar-SA"/>
        </w:rPr>
        <w:t xml:space="preserve"> Ou seja, suspensão dos direitos políticos e</w:t>
      </w:r>
      <w:r>
        <w:rPr>
          <w:rFonts w:cs="Cambria" w:ascii="Cambria" w:hAnsi="Cambria"/>
          <w:sz w:val="24"/>
          <w:szCs w:val="24"/>
        </w:rPr>
        <w:t xml:space="preserve"> INELEGIBILIDADE são efeitos distintos de uma condenaçã</w:t>
      </w:r>
      <w:r>
        <w:rPr>
          <w:rFonts w:eastAsia="Times New Roman" w:cs="Cambria" w:ascii="Cambria" w:hAnsi="Cambria"/>
          <w:color w:val="auto"/>
          <w:sz w:val="24"/>
          <w:szCs w:val="24"/>
          <w:lang w:val="pt-BR" w:eastAsia="zh-CN" w:bidi="ar-SA"/>
        </w:rPr>
        <w:t xml:space="preserve">o.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>
          <w:rFonts w:ascii="Cambria" w:hAnsi="Cambria" w:eastAsia="Times New Roman" w:cs="Cambria"/>
          <w:color w:val="auto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Reiterando o que já dito na exordial, o impugnado foi condenado pelo Tribunal de Juri Popular, em XXXXXXX, como incurso nas penas cominadas ao delito tipificado no art. 121, § 2º, inciso I e IV, c/c art 69, todos do Código Penal Brasileiro, e em face disto, condenado a 39 anos e 06 meses de reclusão, em regime inicialmente fechado, conforme documentos já acostados aos autos. Com se sabe, a decisão condenatória do Conselho de Sentença do Tribunal do Júri é decisão de órgão judicial colegiado e, como tal, apta a atrair a inelegibilidade do artigo 1º, I, e, da LC nº 64/90. </w:t>
      </w:r>
    </w:p>
    <w:p>
      <w:pPr>
        <w:pStyle w:val="Normal"/>
        <w:widowControl/>
        <w:suppressAutoHyphens w:val="true"/>
        <w:bidi w:val="0"/>
        <w:spacing w:lineRule="auto" w:line="360" w:before="120" w:after="0"/>
        <w:ind w:left="0" w:right="0" w:firstLine="2268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Em sua defesa, o IMPUGNADO trouxe ao processo “</w:t>
      </w:r>
      <w:r>
        <w:rPr>
          <w:rFonts w:cs="Cambria" w:ascii="Cambria" w:hAnsi="Cambria"/>
          <w:i/>
          <w:iCs/>
          <w:sz w:val="24"/>
          <w:szCs w:val="24"/>
        </w:rPr>
        <w:t>sentença datada em XXXXXX, a qual reconhece a ocorrência da prescrição da pretensão punitiva do Estado, com fundamento nos artigos 61 do CPP e 107, IV, do CPB, extinguindo, portanto, a punibilidade em relação ao impugnado</w:t>
      </w:r>
      <w:r>
        <w:rPr>
          <w:rFonts w:cs="Cambria" w:ascii="Cambria" w:hAnsi="Cambria"/>
          <w:sz w:val="24"/>
          <w:szCs w:val="24"/>
        </w:rPr>
        <w:t>”.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C</w:t>
      </w:r>
      <w:r>
        <w:rPr>
          <w:rFonts w:cs="Cambria" w:ascii="Cambria" w:hAnsi="Cambria"/>
          <w:sz w:val="24"/>
          <w:szCs w:val="24"/>
        </w:rPr>
        <w:t xml:space="preserve">aso referida extinção da punibilidade houvesse ocorrido antes do trânsito da sentença, não restaria dúvida em relação aos pontos 1 e 2 destacados da contestação. Nesse sentido: </w:t>
      </w:r>
    </w:p>
    <w:p>
      <w:pPr>
        <w:pStyle w:val="Normal"/>
        <w:widowControl/>
        <w:suppressAutoHyphens w:val="true"/>
        <w:bidi w:val="0"/>
        <w:ind w:left="2211" w:right="0" w:hanging="0"/>
        <w:jc w:val="both"/>
        <w:rPr>
          <w:rFonts w:ascii="Cambria" w:hAnsi="Cambria" w:eastAsia="Times New Roman" w:cs="Cambria"/>
          <w:color w:val="auto"/>
          <w:sz w:val="22"/>
          <w:szCs w:val="22"/>
          <w:lang w:val="pt-BR" w:eastAsia="zh-CN" w:bidi="ar-SA"/>
        </w:rPr>
      </w:pPr>
      <w:r>
        <w:rPr>
          <w:rFonts w:eastAsia="Times New Roman" w:cs="Cambria" w:ascii="Cambria" w:hAnsi="Cambria"/>
          <w:color w:val="auto"/>
          <w:sz w:val="22"/>
          <w:szCs w:val="22"/>
          <w:lang w:val="pt-BR" w:eastAsia="zh-CN" w:bidi="ar-SA"/>
        </w:rPr>
      </w:r>
    </w:p>
    <w:p>
      <w:pPr>
        <w:pStyle w:val="Normal"/>
        <w:widowControl/>
        <w:suppressAutoHyphens w:val="true"/>
        <w:bidi w:val="0"/>
        <w:ind w:left="2211" w:right="0" w:hanging="0"/>
        <w:jc w:val="both"/>
        <w:rPr>
          <w:rFonts w:ascii="Cambria" w:hAnsi="Cambria" w:eastAsia="Times New Roman" w:cs="Cambria"/>
          <w:color w:val="auto"/>
          <w:sz w:val="22"/>
          <w:szCs w:val="22"/>
          <w:lang w:val="pt-BR" w:eastAsia="zh-CN" w:bidi="ar-SA"/>
        </w:rPr>
      </w:pPr>
      <w:r>
        <w:rPr>
          <w:rFonts w:eastAsia="Times New Roman" w:cs="Cambria" w:ascii="Cambria" w:hAnsi="Cambria"/>
          <w:color w:val="auto"/>
          <w:sz w:val="22"/>
          <w:szCs w:val="22"/>
          <w:lang w:val="pt-BR" w:eastAsia="zh-CN" w:bidi="ar-SA"/>
        </w:rPr>
        <w:t>Recurso Eleitoral. Registro de candidatura. Condenação com posterior extinção da punibilidade. Inelegibilidade. Inocorrência. Recurso provido.</w:t>
      </w:r>
    </w:p>
    <w:p>
      <w:pPr>
        <w:pStyle w:val="Normal"/>
        <w:widowControl/>
        <w:suppressAutoHyphens w:val="true"/>
        <w:bidi w:val="0"/>
        <w:ind w:left="2211" w:right="0" w:hanging="0"/>
        <w:jc w:val="both"/>
        <w:rPr/>
      </w:pPr>
      <w:r>
        <w:rPr>
          <w:rFonts w:eastAsia="Cambria" w:cs="Cambria" w:ascii="Cambria" w:hAnsi="Cambria"/>
          <w:color w:val="auto"/>
          <w:sz w:val="22"/>
          <w:szCs w:val="22"/>
          <w:lang w:val="pt-BR" w:eastAsia="zh-CN" w:bidi="ar-SA"/>
        </w:rPr>
        <w:t xml:space="preserve"> </w:t>
      </w:r>
      <w:r>
        <w:rPr>
          <w:rFonts w:eastAsia="Times New Roman" w:cs="Cambria" w:ascii="Cambria" w:hAnsi="Cambria"/>
          <w:color w:val="auto"/>
          <w:sz w:val="22"/>
          <w:szCs w:val="22"/>
          <w:lang w:val="pt-BR" w:eastAsia="zh-CN" w:bidi="ar-SA"/>
        </w:rPr>
        <w:t xml:space="preserve">I - </w:t>
      </w:r>
      <w:r>
        <w:rPr>
          <w:rFonts w:eastAsia="Times New Roman" w:cs="Cambria" w:ascii="Cambria" w:hAnsi="Cambria"/>
          <w:b/>
          <w:bCs/>
          <w:color w:val="auto"/>
          <w:sz w:val="22"/>
          <w:szCs w:val="22"/>
          <w:lang w:val="pt-BR" w:eastAsia="zh-CN" w:bidi="ar-SA"/>
        </w:rPr>
        <w:t>A extinção da punibilidade, declarada antes do trânsito em julgado da decisão condenatória, fulmina todos os efeitos da condenação, inclusive a inelegibilidade preconizada na Lei Complementar n. 64/90, com as alterações introduzidas pela Lei Complementar n. 135/2010.</w:t>
      </w:r>
    </w:p>
    <w:p>
      <w:pPr>
        <w:pStyle w:val="Normal"/>
        <w:widowControl/>
        <w:suppressAutoHyphens w:val="true"/>
        <w:bidi w:val="0"/>
        <w:ind w:left="2211" w:right="0" w:hanging="0"/>
        <w:jc w:val="both"/>
        <w:rPr/>
      </w:pPr>
      <w:r>
        <w:rPr>
          <w:rFonts w:eastAsia="Cambria" w:cs="Cambria" w:ascii="Cambria" w:hAnsi="Cambria"/>
          <w:color w:val="auto"/>
          <w:sz w:val="22"/>
          <w:szCs w:val="22"/>
          <w:lang w:val="pt-BR" w:eastAsia="zh-CN" w:bidi="ar-SA"/>
        </w:rPr>
        <w:t xml:space="preserve"> </w:t>
      </w:r>
      <w:r>
        <w:rPr>
          <w:rFonts w:eastAsia="Times New Roman" w:cs="Cambria" w:ascii="Cambria" w:hAnsi="Cambria"/>
          <w:color w:val="auto"/>
          <w:sz w:val="22"/>
          <w:szCs w:val="22"/>
          <w:lang w:val="pt-BR" w:eastAsia="zh-CN" w:bidi="ar-SA"/>
        </w:rPr>
        <w:t>II - Recurso provido para deferir o registro de candidatura.</w:t>
      </w:r>
      <w:r>
        <w:rPr>
          <w:rFonts w:cs="Cambria" w:ascii="Cambria" w:hAnsi="Cambria"/>
          <w:sz w:val="22"/>
          <w:szCs w:val="22"/>
        </w:rPr>
        <w:t>(RECURSO ELEITORAL n 5738, ACÓRDÃO n 197/2012 de 16/08/2012, Relator(aqwe) JOSÉ JORGE RIBEIRO DA LUZ, Publicação: DJE/TRE-RO - Diário Eletrônico da Justiça Eleitoral, Tomo 3ª SE, Data 16/8/2012 )</w:t>
      </w:r>
    </w:p>
    <w:p>
      <w:pPr>
        <w:pStyle w:val="Normal"/>
        <w:widowControl/>
        <w:suppressAutoHyphens w:val="true"/>
        <w:bidi w:val="0"/>
        <w:spacing w:lineRule="auto" w:line="360" w:before="120" w:after="0"/>
        <w:ind w:left="0" w:right="0" w:firstLine="2268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Entretanto a extinção da punibilidade ocorrida no caso em questão, frise-se, se deu </w:t>
      </w:r>
      <w:r>
        <w:rPr>
          <w:rFonts w:cs="Cambria" w:ascii="Cambria" w:hAnsi="Cambria"/>
          <w:b/>
          <w:bCs/>
          <w:sz w:val="24"/>
          <w:szCs w:val="24"/>
        </w:rPr>
        <w:t>após o trânsito em julgado da sentença condenatória</w:t>
      </w:r>
      <w:r>
        <w:rPr>
          <w:rFonts w:cs="Cambria" w:ascii="Cambria" w:hAnsi="Cambria"/>
          <w:sz w:val="24"/>
          <w:szCs w:val="24"/>
        </w:rPr>
        <w:t>, na data de XXXXXXX, o que não afasta os seus efeitos, principalmente os secundários, como é o caso da INELEGIBILIDADE.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2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Diante disso, a contagem dos 8 (oito) anos relacionados a inelegibilidade infraconstitucional destacada no Art. 1º, I, e, 9, da Lei Complementar n.º 64/90, inicia-se a partir da decretação da referida extinção, prolongando-se, portanto, no caso do IMPUGNADO até o dia XXXXXXX. Para fortalecer o fato aqui atestado, qual seja, o Sr. ___________________</w:t>
      </w:r>
      <w:r>
        <w:rPr>
          <w:rStyle w:val="Nfaseforte"/>
          <w:rFonts w:cs="Cambria" w:ascii="Cambria" w:hAnsi="Cambri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está inelegível para concorrer ao cargo de vereador de XXX/TO nas Eleições Municipais de 2024, juntamos algumas ementas de decisões dos Tribunais:</w:t>
      </w:r>
    </w:p>
    <w:p>
      <w:pPr>
        <w:pStyle w:val="Normal"/>
        <w:widowControl/>
        <w:suppressAutoHyphens w:val="true"/>
        <w:bidi w:val="0"/>
        <w:spacing w:lineRule="auto" w:line="360" w:before="120" w:after="0"/>
        <w:ind w:left="0" w:right="0" w:firstLine="2268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ind w:left="2211" w:right="0" w:hanging="0"/>
        <w:jc w:val="both"/>
        <w:rPr>
          <w:rFonts w:ascii="Cambria" w:hAnsi="Cambria" w:cs="Cambria"/>
          <w:b w:val="false"/>
          <w:b w:val="false"/>
          <w:bCs w:val="false"/>
          <w:sz w:val="22"/>
          <w:szCs w:val="22"/>
        </w:rPr>
      </w:pPr>
      <w:r>
        <w:rPr>
          <w:rFonts w:cs="Cambria" w:ascii="Cambria" w:hAnsi="Cambria"/>
          <w:b w:val="false"/>
          <w:bCs w:val="false"/>
          <w:sz w:val="22"/>
          <w:szCs w:val="22"/>
        </w:rPr>
        <w:t>Recurso. Eleições 2016. Registro de candidatura. RRC. Candidato a Vereador. Inelegibilidade. Condenação criminal transitada em julgado. Procedência. Registro indeferido.</w:t>
      </w:r>
    </w:p>
    <w:p>
      <w:pPr>
        <w:pStyle w:val="Normal"/>
        <w:widowControl/>
        <w:suppressAutoHyphens w:val="true"/>
        <w:bidi w:val="0"/>
        <w:ind w:left="2211" w:right="0" w:hanging="0"/>
        <w:jc w:val="both"/>
        <w:rPr/>
      </w:pPr>
      <w:r>
        <w:rPr>
          <w:rFonts w:eastAsia="Cambria" w:cs="Cambria" w:ascii="Cambria" w:hAnsi="Cambria"/>
          <w:b w:val="false"/>
          <w:bCs w:val="false"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Crime contra o patrimônio privado. Art. 180, §1° do Código Penal. Alegação de que não ficou inelegível, haja vista a extinção da punibilidade penal, bem como, ausência da incidência das causas de inelegibilidade.</w:t>
      </w:r>
    </w:p>
    <w:p>
      <w:pPr>
        <w:pStyle w:val="Normal"/>
        <w:widowControl/>
        <w:suppressAutoHyphens w:val="true"/>
        <w:bidi w:val="0"/>
        <w:ind w:left="2211" w:right="0" w:hanging="0"/>
        <w:jc w:val="both"/>
        <w:rPr/>
      </w:pPr>
      <w:r>
        <w:rPr>
          <w:rFonts w:eastAsia="Cambri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O art. 1°, I, "e", da Lei 64/90, Lei das Inelegibilidades, prevê a inelegibilidade, pelo prazo de oito anos, após o cumprimento da pena, daqueles que forem condenados criminalmente, com sentença transitada em julgado ou por decisão colegiada, pela pratica de crime contra o patrimônio privado, dentre outros.</w:t>
      </w:r>
    </w:p>
    <w:p>
      <w:pPr>
        <w:pStyle w:val="Normal"/>
        <w:widowControl/>
        <w:suppressAutoHyphens w:val="true"/>
        <w:bidi w:val="0"/>
        <w:ind w:left="2211" w:right="0" w:hanging="0"/>
        <w:jc w:val="both"/>
        <w:rPr/>
      </w:pPr>
      <w:r>
        <w:rPr>
          <w:rFonts w:eastAsia="Cambri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Recurso não provido</w:t>
      </w:r>
    </w:p>
    <w:p>
      <w:pPr>
        <w:pStyle w:val="Normal"/>
        <w:widowControl/>
        <w:suppressAutoHyphens w:val="true"/>
        <w:bidi w:val="0"/>
        <w:ind w:left="2211" w:right="0" w:hanging="0"/>
        <w:jc w:val="both"/>
        <w:rPr/>
      </w:pPr>
      <w:r>
        <w:rPr>
          <w:rStyle w:val="Nfaseforte"/>
          <w:rFonts w:cs="Cambria" w:ascii="Cambria" w:hAnsi="Cambr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(RECURSO ELEITORAL n 32950, ACÓRDÃO de 28/09/2016, Relator(aqwe) PAULO ROGÉRIO DE SOUZA ABRANTES - CAND, Publicação: PSESS - Publicado em Sessão, Data 28/09/2016 )</w:t>
      </w:r>
    </w:p>
    <w:p>
      <w:pPr>
        <w:pStyle w:val="Normal"/>
        <w:widowControl/>
        <w:suppressAutoHyphens w:val="true"/>
        <w:bidi w:val="0"/>
        <w:ind w:left="2211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widowControl/>
        <w:suppressAutoHyphens w:val="true"/>
        <w:bidi w:val="0"/>
        <w:ind w:left="2211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widowControl/>
        <w:suppressAutoHyphens w:val="true"/>
        <w:bidi w:val="0"/>
        <w:ind w:left="2211" w:right="0" w:hanging="0"/>
        <w:jc w:val="both"/>
        <w:rPr/>
      </w:pPr>
      <w:r>
        <w:rPr>
          <w:rFonts w:cs="Cambria" w:ascii="Cambria" w:hAnsi="Cambria"/>
          <w:sz w:val="22"/>
          <w:szCs w:val="22"/>
        </w:rPr>
        <w:t xml:space="preserve">RECURSO ELEITORAL. REGISTRO DE CANDIDATURA. ELEIÇÕES 2016. VEREADOR. SENTENÇA DE INDEFERIMENTO. </w:t>
      </w:r>
      <w:r>
        <w:rPr>
          <w:rFonts w:cs="Cambria" w:ascii="Cambria" w:hAnsi="Cambria"/>
          <w:b/>
          <w:bCs/>
          <w:sz w:val="22"/>
          <w:szCs w:val="22"/>
        </w:rPr>
        <w:t>CONDENAÇÃO CRIMINAL TRANSITADA EM JULGADO. EXTINÇÃO DA PUNIBILIDADE PELO CUMPRIMENTO DA PENA. INCIDÊNCIA DA HIPÓTESE DO ARTIGO 1º, INCISO I, ALÍNEA "E", 2 DA LEI COMPLEMENTAR Nº 64/90. INELEGIBILIDADE CONFIGURADA. MANUTENÇÃO DA SENTENÇA QUE ORA SE IMPÕE. PELO DESPROVIMENTO DO RECURSO.</w:t>
      </w:r>
    </w:p>
    <w:p>
      <w:pPr>
        <w:pStyle w:val="Normal"/>
        <w:widowControl/>
        <w:suppressAutoHyphens w:val="true"/>
        <w:bidi w:val="0"/>
        <w:ind w:left="2211" w:right="0" w:hanging="0"/>
        <w:jc w:val="both"/>
        <w:rPr/>
      </w:pPr>
      <w:r>
        <w:rPr>
          <w:rStyle w:val="Nfaseforte"/>
          <w:rFonts w:cs="Cambria" w:ascii="Cambria" w:hAnsi="Cambr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(RECURSO ELEITORAL nº 4158, Acórdão, Relator(a) Min. André Guilherme Lemos Jorge, Publicação:  PSESS - Publicado em Sessão, Data 27/09/2016)</w:t>
      </w:r>
    </w:p>
    <w:p>
      <w:pPr>
        <w:pStyle w:val="Normal"/>
        <w:widowControl/>
        <w:suppressAutoHyphens w:val="true"/>
        <w:bidi w:val="0"/>
        <w:spacing w:lineRule="auto" w:line="360" w:before="120" w:after="0"/>
        <w:ind w:left="0" w:right="0" w:firstLine="2268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/>
      </w:pPr>
      <w:r>
        <w:rPr>
          <w:rFonts w:cs="Cambria" w:ascii="Cambria" w:hAnsi="Cambria"/>
          <w:b w:val="false"/>
          <w:bCs w:val="false"/>
          <w:sz w:val="22"/>
          <w:szCs w:val="22"/>
        </w:rPr>
        <w:t xml:space="preserve">REGISTRO DE CANDIDATURA - CHAPA MAJORITÁRIA - CANDIDATO A PREFEITO - IMPUGNAÇÃO EXTEMPORÂNEA - NOTÍCIA DE INELEGIBILIDADE -  CONHECIMENTO DE OFÍCIO PELO JUIZ - POSSIBILIDADE - EXERCÍCIO DO DIREITO DE DEFESA - CRIME CONTRA A ADMINISTRAÇÃO PÚBLICA - </w:t>
      </w:r>
      <w:r>
        <w:rPr>
          <w:rFonts w:cs="Cambria" w:ascii="Cambria" w:hAnsi="Cambria"/>
          <w:b/>
          <w:bCs/>
          <w:sz w:val="22"/>
          <w:szCs w:val="22"/>
        </w:rPr>
        <w:t>CONDENAÇÃO CRIMINAL TRANSITADA EM JULGADO - EXTINÇÃO DA PUNIBILIDADE - MANUTENÇÃO DOS EFEITOS SECUNDÁRIOS DA SENTENÇA - CONTAGEM DO PRAZO DE INELEGIBILIDADE DA EXTINÇÃO DA PUNIBILIDADE - CAUSA DE INELEGIBILIDADE PRESENTE - MANUTENÇÃO DA SENTENÇA – DESPROVIMENTO.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/>
      </w:pPr>
      <w:r>
        <w:rPr>
          <w:rStyle w:val="Nfaseforte"/>
          <w:rFonts w:cs="Cambria" w:ascii="Cambria" w:hAnsi="Cambr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(RECURSO EM REGISTRO DE CANDIDATO n 17865, ACÓRDÃO n 26880 de 16/08/2012, Relator(aqwe) BÁRBARA LEBARBENCHON MOURA THOMASELLI, Publicação: PSESS - Publicado em Sessão, Data 16/8/2012 )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AGRAVO REGIMENTAL. RECURSO ESPECIAL. REGISTRO DE CANDIDATURA. ELEIÇÕES 2012. PREFEITO. INDEFERIMENTO. REITERAÇÃO DAS RAZÕES DO RECURSO. CONDENAÇÃO CRIMINAL. PRESCRIÇÃO DA PRETENSÃO EXECUTÓRIA. INCIDÊNCIA DA INELEGIBILIDADE.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DESPROVIMENTO.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1.  A agravante limitou-se a reproduzir as razões ventiladas no recurso especial, não aportando aos autos qualquer argumento capaz de afastar os fundamentos da decisão agravada. Aplicação da Súmula nº 182 do Superior Tribunal de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Justiça.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 w:cs="Cambria"/>
          <w:b/>
          <w:b/>
          <w:bCs/>
          <w:sz w:val="22"/>
          <w:szCs w:val="22"/>
        </w:rPr>
      </w:pPr>
      <w:r>
        <w:rPr>
          <w:rFonts w:cs="Cambria" w:ascii="Cambria" w:hAnsi="Cambria"/>
          <w:b/>
          <w:bCs/>
          <w:sz w:val="22"/>
          <w:szCs w:val="22"/>
        </w:rPr>
        <w:t xml:space="preserve">2.  A inelegibilidade prevista no art. 1º, I, e, da LC nº 64/90 incide mesmo após o reconhecimento da prescrição da pretensão executória, a qual afasta apenas a execução da pena, subsistindo os efeitos secundários da decisão condenatória, como é o caso da inelegibilidade (condenação por tráfico de drogas - arts. 12 e 14 da Lei nº 6.368/76). 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 w:cs="Cambria"/>
          <w:b/>
          <w:b/>
          <w:bCs/>
          <w:sz w:val="22"/>
          <w:szCs w:val="22"/>
        </w:rPr>
      </w:pPr>
      <w:r>
        <w:rPr>
          <w:rFonts w:cs="Cambria" w:ascii="Cambria" w:hAnsi="Cambria"/>
          <w:b/>
          <w:bCs/>
          <w:sz w:val="22"/>
          <w:szCs w:val="22"/>
        </w:rPr>
        <w:t>3.  A LC nº 64/90 não foi alterada no que tange ao marco inicial para o transcurso da inelegibilidade na hipótese da alínea e do inciso I do art. 1º, razão pela qual permanece válida a interpretação já firmada por esta Corte no sentido de que o termo inicial será a data em que declarada a extinção da punibilidade.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 w:cs="Cambria"/>
          <w:b/>
          <w:b/>
          <w:bCs/>
          <w:sz w:val="22"/>
          <w:szCs w:val="22"/>
        </w:rPr>
      </w:pPr>
      <w:r>
        <w:rPr>
          <w:rFonts w:cs="Cambria" w:ascii="Cambria" w:hAnsi="Cambria"/>
          <w:b/>
          <w:bCs/>
          <w:sz w:val="22"/>
          <w:szCs w:val="22"/>
        </w:rPr>
        <w:t xml:space="preserve">4.  O Supremo Tribunal Federal, no julgamento das Ações Declaratórias de Constitucionalidade nos 29 e 30 e da Ação Direta de Inconstitucionalidade nº 4.578/DF, declarou a constitucionalidade da LC nº 135/2010 e reconheceu a possibilidade de sua incidência para fatos pretéritos. 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5.  Agravo regimental a que se nega provimento.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/>
      </w:pPr>
      <w:r>
        <w:rPr>
          <w:rStyle w:val="Nfaseforte"/>
          <w:rFonts w:cs="Cambria" w:ascii="Cambria" w:hAnsi="Cambr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(Recurso Especial Eleitoral nº 22783, Acórdão, Relator(a) Min. Luciana Lóssio, Publicação:  PSESS - Publicado em Sessão, Data 23/10/2012)</w:t>
      </w:r>
    </w:p>
    <w:p>
      <w:pPr>
        <w:pStyle w:val="Normal"/>
        <w:widowControl/>
        <w:suppressAutoHyphens w:val="true"/>
        <w:bidi w:val="0"/>
        <w:spacing w:lineRule="auto" w:line="360" w:before="120" w:after="0"/>
        <w:ind w:left="0" w:right="0" w:firstLine="2268"/>
        <w:jc w:val="both"/>
        <w:rPr>
          <w:rFonts w:ascii="Cambria" w:hAnsi="Cambria" w:cs="Cambria"/>
          <w:b w:val="false"/>
          <w:b w:val="false"/>
          <w:bCs w:val="false"/>
          <w:i/>
          <w:i/>
          <w:sz w:val="24"/>
          <w:szCs w:val="24"/>
        </w:rPr>
      </w:pPr>
      <w:r>
        <w:rPr>
          <w:rFonts w:cs="Cambria" w:ascii="Cambria" w:hAnsi="Cambria"/>
          <w:b w:val="false"/>
          <w:bCs w:val="false"/>
          <w:i/>
          <w:sz w:val="24"/>
          <w:szCs w:val="24"/>
        </w:rPr>
      </w:r>
    </w:p>
    <w:p>
      <w:pPr>
        <w:pStyle w:val="Normal"/>
        <w:autoSpaceDE w:val="false"/>
        <w:spacing w:lineRule="auto" w:line="276"/>
        <w:ind w:left="1701" w:right="-284" w:hanging="0"/>
        <w:jc w:val="both"/>
        <w:rPr>
          <w:rFonts w:ascii="Cambria" w:hAnsi="Cambria" w:cs="Cambria"/>
          <w:b w:val="false"/>
          <w:b w:val="false"/>
          <w:bCs w:val="false"/>
          <w:i/>
          <w:i/>
          <w:sz w:val="24"/>
          <w:szCs w:val="24"/>
        </w:rPr>
      </w:pPr>
      <w:r>
        <w:rPr>
          <w:rFonts w:cs="Cambria" w:ascii="Cambria" w:hAnsi="Cambria"/>
          <w:b w:val="false"/>
          <w:bCs w:val="false"/>
          <w:i/>
          <w:sz w:val="24"/>
          <w:szCs w:val="24"/>
        </w:rPr>
      </w:r>
    </w:p>
    <w:p>
      <w:pPr>
        <w:pStyle w:val="Corpodotexto"/>
        <w:widowControl/>
        <w:suppressAutoHyphens w:val="true"/>
        <w:overflowPunct w:val="false"/>
        <w:autoSpaceDE w:val="false"/>
        <w:bidi w:val="0"/>
        <w:spacing w:lineRule="auto" w:line="360" w:before="0" w:after="120"/>
        <w:ind w:left="0" w:right="0" w:firstLine="1701"/>
        <w:jc w:val="both"/>
        <w:rPr/>
      </w:pPr>
      <w:r>
        <w:rPr>
          <w:rFonts w:cs="Cambria" w:ascii="Cambria" w:hAnsi="Cambria"/>
          <w:i w:val="false"/>
          <w:iCs w:val="false"/>
          <w:sz w:val="24"/>
          <w:szCs w:val="24"/>
        </w:rPr>
        <w:t xml:space="preserve">Por fim, destacamos aqui a Súmula 61 do Tribunal Superior Eleitoral, a qual indica: “O prazo concernente à hipótese de inelegibilidade prevista no art. 1º, I, e, da LC nº 64/1990 projeta-se por oito anos após o cumprimento da pena, </w:t>
      </w:r>
      <w:r>
        <w:rPr>
          <w:rFonts w:cs="Cambria" w:ascii="Cambria" w:hAnsi="Cambria"/>
          <w:b/>
          <w:bCs/>
          <w:i w:val="false"/>
          <w:iCs w:val="false"/>
          <w:sz w:val="24"/>
          <w:szCs w:val="24"/>
        </w:rPr>
        <w:t>seja ela privativa de liberdade, restritiva de direito ou multa.”</w:t>
      </w:r>
    </w:p>
    <w:p>
      <w:pPr>
        <w:pStyle w:val="Corpodotexto"/>
        <w:widowControl/>
        <w:suppressAutoHyphens w:val="true"/>
        <w:overflowPunct w:val="false"/>
        <w:autoSpaceDE w:val="false"/>
        <w:bidi w:val="0"/>
        <w:spacing w:lineRule="auto" w:line="360" w:before="0" w:after="120"/>
        <w:ind w:left="0" w:right="0" w:firstLine="1701"/>
        <w:jc w:val="both"/>
        <w:rPr>
          <w:rFonts w:ascii="Cambria" w:hAnsi="Cambria" w:cs="Cambria"/>
          <w:b/>
          <w:b/>
          <w:bCs/>
          <w:i w:val="false"/>
          <w:i w:val="false"/>
          <w:iCs w:val="false"/>
          <w:color w:val="000000"/>
          <w:sz w:val="24"/>
          <w:szCs w:val="24"/>
        </w:rPr>
      </w:pPr>
      <w:r>
        <w:rPr/>
      </w:r>
    </w:p>
    <w:p>
      <w:pPr>
        <w:pStyle w:val="Corpodotexto"/>
        <w:widowControl/>
        <w:suppressAutoHyphens w:val="true"/>
        <w:overflowPunct w:val="false"/>
        <w:autoSpaceDE w:val="false"/>
        <w:bidi w:val="0"/>
        <w:spacing w:lineRule="auto" w:line="360" w:before="0" w:after="120"/>
        <w:ind w:left="0" w:right="0" w:firstLine="1701"/>
        <w:jc w:val="both"/>
        <w:rPr/>
      </w:pPr>
      <w:r>
        <w:rPr>
          <w:rFonts w:cs="Cambria" w:ascii="Cambria" w:hAnsi="Cambria"/>
          <w:i w:val="false"/>
          <w:iCs w:val="false"/>
          <w:color w:val="000000"/>
          <w:sz w:val="24"/>
          <w:szCs w:val="24"/>
        </w:rPr>
        <w:t>D</w:t>
      </w:r>
      <w:r>
        <w:rPr>
          <w:rFonts w:cs="Cambria" w:ascii="Cambria" w:hAnsi="Cambria"/>
          <w:i w:val="false"/>
          <w:iCs w:val="false"/>
          <w:color w:val="000000"/>
          <w:sz w:val="24"/>
          <w:szCs w:val="24"/>
        </w:rPr>
        <w:t>esta feita</w:t>
      </w:r>
      <w:r>
        <w:rPr>
          <w:rFonts w:cs="Cambria" w:ascii="Cambria" w:hAnsi="Cambria"/>
          <w:i w:val="false"/>
          <w:iCs w:val="false"/>
          <w:color w:val="000000"/>
          <w:sz w:val="24"/>
          <w:szCs w:val="24"/>
        </w:rPr>
        <w:t xml:space="preserve">, após considerar todos os argumentos acima expostos, e uma vez analisadas as justificativas apresentadas pelo impugnado, eis que o </w:t>
      </w:r>
      <w:r>
        <w:rPr>
          <w:rFonts w:cs="Cambria" w:ascii="Cambria" w:hAnsi="Cambria"/>
          <w:b/>
          <w:bCs/>
          <w:i w:val="false"/>
          <w:iCs w:val="false"/>
          <w:color w:val="000000"/>
          <w:sz w:val="24"/>
          <w:szCs w:val="24"/>
        </w:rPr>
        <w:t>Ministério Público Eleitoral</w:t>
      </w:r>
      <w:r>
        <w:rPr>
          <w:rFonts w:cs="Cambria" w:ascii="Cambria" w:hAnsi="Cambria"/>
          <w:i w:val="false"/>
          <w:iCs w:val="false"/>
          <w:color w:val="000000"/>
          <w:sz w:val="24"/>
          <w:szCs w:val="24"/>
        </w:rPr>
        <w:t xml:space="preserve"> vem à presença deste juízo reiterar pela </w:t>
      </w:r>
      <w:r>
        <w:rPr>
          <w:rFonts w:cs="Cambria" w:ascii="Cambria" w:hAnsi="Cambria"/>
          <w:b/>
          <w:bCs/>
          <w:i w:val="false"/>
          <w:iCs w:val="false"/>
          <w:color w:val="000000"/>
          <w:sz w:val="24"/>
          <w:szCs w:val="24"/>
          <w:u w:val="single"/>
        </w:rPr>
        <w:t>procedência</w:t>
      </w:r>
      <w:r>
        <w:rPr>
          <w:rFonts w:cs="Cambria" w:ascii="Cambria" w:hAnsi="Cambria"/>
          <w:i w:val="false"/>
          <w:iCs w:val="false"/>
          <w:color w:val="000000"/>
          <w:sz w:val="24"/>
          <w:szCs w:val="24"/>
        </w:rPr>
        <w:t xml:space="preserve"> da </w:t>
      </w:r>
      <w:r>
        <w:rPr>
          <w:rFonts w:cs="Cambria" w:ascii="Cambria" w:hAnsi="Cambria"/>
          <w:b/>
          <w:bCs/>
          <w:i w:val="false"/>
          <w:iCs w:val="false"/>
          <w:color w:val="000000"/>
          <w:sz w:val="24"/>
          <w:szCs w:val="24"/>
        </w:rPr>
        <w:t xml:space="preserve">AÇÃO DE </w:t>
      </w:r>
      <w:r>
        <w:rPr>
          <w:rFonts w:cs="Cambria" w:ascii="Cambria" w:hAnsi="Cambria"/>
          <w:b/>
          <w:bCs/>
          <w:i w:val="false"/>
          <w:iCs w:val="false"/>
          <w:color w:val="000000"/>
          <w:sz w:val="24"/>
          <w:szCs w:val="24"/>
          <w:u w:val="single"/>
        </w:rPr>
        <w:t>IMPUGNAÇÃO</w:t>
      </w:r>
      <w:r>
        <w:rPr>
          <w:rFonts w:cs="Cambria" w:ascii="Cambria" w:hAnsi="Cambria"/>
          <w:b/>
          <w:bCs/>
          <w:i w:val="false"/>
          <w:iCs w:val="false"/>
          <w:color w:val="000000"/>
          <w:sz w:val="24"/>
          <w:szCs w:val="24"/>
        </w:rPr>
        <w:t xml:space="preserve"> DO REGISTRO DE CANDIDATURA</w:t>
      </w:r>
      <w:r>
        <w:rPr>
          <w:rFonts w:cs="Cambria" w:ascii="Cambria" w:hAnsi="Cambria"/>
          <w:i w:val="false"/>
          <w:iCs w:val="false"/>
          <w:color w:val="000000"/>
          <w:sz w:val="24"/>
          <w:szCs w:val="24"/>
        </w:rPr>
        <w:t xml:space="preserve"> interposta contra o RRC do candidato a vereador </w:t>
      </w:r>
      <w:r>
        <w:rPr>
          <w:rStyle w:val="Nfaseforte"/>
          <w:rFonts w:cs="Cambria" w:ascii="Cambria" w:hAnsi="Cambria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______________________</w:t>
      </w:r>
      <w:r>
        <w:rPr>
          <w:rFonts w:cs="Cambria" w:ascii="Cambria" w:hAnsi="Cambria"/>
          <w:b/>
          <w:bCs/>
          <w:i w:val="false"/>
          <w:iCs w:val="false"/>
          <w:color w:val="000000"/>
          <w:sz w:val="24"/>
          <w:szCs w:val="24"/>
        </w:rPr>
        <w:t xml:space="preserve">, </w:t>
      </w:r>
      <w:r>
        <w:rPr>
          <w:rFonts w:cs="Cambria" w:ascii="Cambria" w:hAnsi="Cambria"/>
          <w:b w:val="false"/>
          <w:bCs w:val="false"/>
          <w:i w:val="false"/>
          <w:iCs w:val="false"/>
          <w:color w:val="000000"/>
          <w:sz w:val="24"/>
          <w:szCs w:val="24"/>
        </w:rPr>
        <w:t>posto que as justificativas por ele apresentadas não se constituem em elementos e provas suficientes para afastar a inelegibilidade estatuída pela Lei Complementar 64/90, Art. 1º, I, e, 9, c/c VII, b, nos termos em que exposto e requerido na petição inicial.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6</Pages>
  <Words>1459</Words>
  <Characters>8267</Characters>
  <CharactersWithSpaces>9703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2023-06-07T05:24:44Z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