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523" w:leader="none"/>
        </w:tabs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</w:r>
    </w:p>
    <w:p>
      <w:pPr>
        <w:pStyle w:val="Normal"/>
        <w:tabs>
          <w:tab w:val="left" w:pos="1523" w:leader="none"/>
        </w:tabs>
        <w:jc w:val="right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Vitória 28 de junho de 2016.</w:t>
      </w:r>
    </w:p>
    <w:p>
      <w:pPr>
        <w:pStyle w:val="Normal"/>
        <w:tabs>
          <w:tab w:val="left" w:pos="1523" w:leader="none"/>
        </w:tabs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</w:r>
    </w:p>
    <w:p>
      <w:pPr>
        <w:pStyle w:val="Normal"/>
        <w:tabs>
          <w:tab w:val="left" w:pos="1523" w:leader="none"/>
        </w:tabs>
        <w:jc w:val="both"/>
        <w:rPr>
          <w:rFonts w:ascii="Palatino Linotype" w:hAnsi="Palatino Linotype"/>
          <w:b/>
          <w:b/>
          <w:color w:val="000000"/>
        </w:rPr>
      </w:pPr>
      <w:r>
        <w:rPr>
          <w:rFonts w:ascii="Palatino Linotype" w:hAnsi="Palatino Linotype"/>
          <w:b/>
          <w:color w:val="000000"/>
        </w:rPr>
        <w:t>Ofício nº 010/2016 – COPEIJ</w:t>
      </w:r>
    </w:p>
    <w:p>
      <w:pPr>
        <w:pStyle w:val="Listawestern"/>
        <w:spacing w:beforeAutospacing="0" w:before="0" w:after="0"/>
        <w:contextualSpacing/>
        <w:jc w:val="both"/>
        <w:rPr>
          <w:rFonts w:ascii="Palatino Linotype" w:hAnsi="Palatino Linotype" w:eastAsia="Calibri" w:cs="" w:cstheme="minorBidi" w:eastAsiaTheme="minorHAnsi"/>
          <w:color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Palatino Linotype" w:hAnsi="Palatino Linotype"/>
          <w:color w:val="000000"/>
          <w:sz w:val="22"/>
          <w:szCs w:val="22"/>
          <w:lang w:eastAsia="en-US"/>
        </w:rPr>
      </w:r>
    </w:p>
    <w:p>
      <w:pPr>
        <w:pStyle w:val="Normal"/>
        <w:spacing w:before="0" w:after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Sua Excelência o Senhor Conselheiro</w:t>
      </w:r>
    </w:p>
    <w:p>
      <w:pPr>
        <w:pStyle w:val="Normal"/>
        <w:spacing w:before="0" w:after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Presidente da Comissão da Infância e Juventude - CNMP</w:t>
      </w:r>
    </w:p>
    <w:p>
      <w:pPr>
        <w:pStyle w:val="Normal"/>
        <w:spacing w:before="0" w:after="0"/>
        <w:jc w:val="both"/>
        <w:rPr>
          <w:rFonts w:ascii="Palatino Linotype" w:hAnsi="Palatino Linotype"/>
          <w:b/>
          <w:b/>
          <w:caps/>
          <w:color w:val="000000"/>
        </w:rPr>
      </w:pPr>
      <w:r>
        <w:rPr>
          <w:rFonts w:ascii="Palatino Linotype" w:hAnsi="Palatino Linotype"/>
          <w:b/>
          <w:caps/>
          <w:color w:val="000000"/>
        </w:rPr>
        <w:t>Walter de Agra júnior</w:t>
      </w:r>
    </w:p>
    <w:p>
      <w:pPr>
        <w:pStyle w:val="Western"/>
        <w:spacing w:beforeAutospacing="0" w:before="0" w:after="0"/>
        <w:jc w:val="both"/>
        <w:rPr>
          <w:rFonts w:ascii="Palatino Linotype" w:hAnsi="Palatino Linotype" w:eastAsia="Calibri" w:cs="" w:cstheme="minorBidi" w:eastAsiaTheme="minorHAnsi"/>
          <w:color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Palatino Linotype" w:hAnsi="Palatino Linotype"/>
          <w:color w:val="000000"/>
          <w:sz w:val="22"/>
          <w:szCs w:val="22"/>
          <w:lang w:eastAsia="en-US"/>
        </w:rPr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Assunto:</w:t>
      </w:r>
      <w:r>
        <w:rPr>
          <w:rFonts w:ascii="Palatino Linotype" w:hAnsi="Palatino Linotype"/>
          <w:color w:val="000000"/>
        </w:rPr>
        <w:t xml:space="preserve"> considerações acerca da periodicidade de fiscalização em entidades de acolhimento - Resolução CNMP 71, de 15/06/2011 alterada pela Resolução 96, de 21 de maio de 2013.</w:t>
      </w:r>
    </w:p>
    <w:p>
      <w:pPr>
        <w:pStyle w:val="Western"/>
        <w:spacing w:beforeAutospacing="0" w:before="0" w:after="0"/>
        <w:jc w:val="both"/>
        <w:rPr>
          <w:rFonts w:ascii="Palatino Linotype" w:hAnsi="Palatino Linotype" w:eastAsia="Calibri" w:cs="" w:cstheme="minorBidi" w:eastAsiaTheme="minorHAnsi"/>
          <w:color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Palatino Linotype" w:hAnsi="Palatino Linotype"/>
          <w:color w:val="000000"/>
          <w:sz w:val="22"/>
          <w:szCs w:val="22"/>
          <w:lang w:eastAsia="en-US"/>
        </w:rPr>
      </w:r>
    </w:p>
    <w:p>
      <w:pPr>
        <w:pStyle w:val="Western"/>
        <w:spacing w:before="0" w:after="0"/>
        <w:jc w:val="both"/>
        <w:rPr>
          <w:rFonts w:ascii="Palatino Linotype" w:hAnsi="Palatino Linotype" w:eastAsia="Calibri" w:cs="" w:cstheme="minorBidi" w:eastAsiaTheme="minorHAnsi"/>
          <w:color w:val="000000"/>
          <w:sz w:val="22"/>
          <w:szCs w:val="22"/>
          <w:lang w:eastAsia="en-US"/>
        </w:rPr>
      </w:pPr>
      <w:r>
        <w:rPr>
          <w:rFonts w:eastAsia="Calibri" w:cs="" w:ascii="Palatino Linotype" w:hAnsi="Palatino Linotype" w:cstheme="minorBidi" w:eastAsiaTheme="minorHAnsi"/>
          <w:color w:val="000000"/>
          <w:sz w:val="22"/>
          <w:szCs w:val="22"/>
          <w:lang w:eastAsia="en-US"/>
        </w:rPr>
        <w:t> 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Excelentíssimo Senhor Presidente,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Em razão das discussões havidas durante a I Reunião Ordinária da Comissão Permanente da Infância e Juventude – COPEIJ, integrante do Grupo Nacional de Direitos Humanos – GNDH, vinculada ao Conselho Nacional de Procuradores Gerais- CNPG, t</w:t>
      </w:r>
      <w:bookmarkStart w:id="0" w:name="_GoBack"/>
      <w:bookmarkEnd w:id="0"/>
      <w:r>
        <w:rPr>
          <w:rFonts w:ascii="Palatino Linotype" w:hAnsi="Palatino Linotype"/>
          <w:color w:val="000000"/>
        </w:rPr>
        <w:t>emos a honra de cumprimentá-lo para expor e solicitar conforme segue: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efetividade da atuação dos membros do Ministério Público na defesa do direito fundamental à convivência familiar e comunitária de crianças e adolescentes em acolhimento levou à publicação da Resolução CNMP 71, de 15/06/2011, alterada pela Resolução 96, de 21 de maio de 2013.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Decorridos anos da implantação desse sistema, observa-se que hoje há outras experiências de fiscalização da excepcionalidade e brevidade do acolhimento institucional e da primazia do acolhimento familiar, como também de sua efetivação: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   </w:t>
      </w:r>
      <w:r>
        <w:rPr>
          <w:rFonts w:ascii="Palatino Linotype" w:hAnsi="Palatino Linotype"/>
          <w:color w:val="000000"/>
        </w:rPr>
        <w:t>a) Provimento nº 32, da Corregedoria Nacional da Justiça, de 24 de junho de 2013,  que trata das audiências concentradas (abril e outubro) e que igualmente reforçou a necessidade de alimentação do Cadastro Nacional de Crianças Acolhidas (CNCA), criado pela Resolução CNJ nº 93, de 27 de outubro de 2009 ;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       </w:t>
      </w:r>
      <w:r>
        <w:rPr>
          <w:rFonts w:ascii="Palatino Linotype" w:hAnsi="Palatino Linotype"/>
          <w:color w:val="000000"/>
        </w:rPr>
        <w:t>b) o reordenamento do acolhimento institucional e familiar, decorrente do cofinanciamento pelo CNAS (Resolução nº  23, de 27 de setembro de  2013 - DOU 30/09/2013), implicando na elaboração de Planos de Acolhimento e na realização de diagnóstico socioterritorial sobre a demanda e a oferta de serviços de acolhimento executados pelo poder público ou em parceria com as entidades de assistência social.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Observa-se, ainda, que a questão do acolhimento institucional não pode ser dissociada da implementação dos Planos Nacional, Estaduais e Municipais de  Promoção, Proteção e Defesa do Direito de Crianças e Adolescentes à Convivência Familiar e Comunitária, o que tem sido objeto de fiscalização e acompanhamento por parte dos órgãos de execução, sobrecarregando as Promotorias de Justiça, em questões individuais e  coletivas. 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As inspeções e visitas  determinadas pela  Resolução CNMP  71, de 15/06/2011, alterada pela Resolução 96, de 21 de maio de 2013, consistem, sem sobra de dúvida, em importante estratégia para a identificação de violações. Ocorre que a COPEIJ tem percebido, a partir da experiência retratada pelos Promotores de Justiça aos Centros de Apoio Operacional da Infância e da Juventude, que a periodicidade exigida para sua realização não oportuniza que a esperada resolutividade se dê em tempo hábil antes do retorno do Promotor de Justiça, o que enseja uma sensação de inocuidade dessas fiscalizações entre os agentes do Sistema de Garantia de Direitos. 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Ademais, não se pode ignorar o fato de que a maioria dos Promotores de Justiça cumula outras atribuições além da infância e juventude, bem assim que mesmo onde há Promotorias de Justiça especializadas,  não é frequente a separação entra a matéria infracional e cível.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Exemplificativamente, apenas no âmbito da infância, são reguladas pelo CNMP, além das visitas e inspeções a entidades de acolhimento,  as fiscalizações em unidades para cumprimento de medidas socioeducativas de internação e de semiliberdade pelos membros do Ministério Público e sobre a situação dos adolescentes que se encontrem privados de liberdade em cadeias públicas (Resolução CNMP 67, alterada pelas Resoluções 84 e 97).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Deduz-se daí que o órgão de execução na área da infância e da juventude em um Município que sedie entidades de acolhimento e unidades de internação e semiliberdade deve acrescentar a todas suas outras atividades um calendário cuja frequência tem efetivamente impedido o desdobramento das medidas judiciais ou extrajudiciais decorrentes dessas conclusões, ante a complexidade dessas questões, por seus aspectos multidisciplinares.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Tem-se que essa situação pode ser considerada como elemento que ajudou a modificar a frequência do envio de relatórios das fiscalizações nas entidades socioeducativas em meio fechado, de bimestrais para semestrais, apesar de mantida a obrigatoriedade das visitas a cada dois meses (Resolução CNMP 137, de 27/01/2016), divergindo, nesta última parte, da sugestão inicial da COPEIJ.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Portanto, por todo o exposto, é proporcional e razoável que se adotem, para os fins da Resolução CNMP 71, no mínimo os mesmos critérios de alteração da periodicidade do envio dos relatórios semestrais,       determinada pela Resolução 67 e suas alterações posteriores, notadamente enquanto ainda não estão implantados os avanços institucionais propostos pela recém-publicada Recomendação 33.</w:t>
      </w:r>
    </w:p>
    <w:p>
      <w:pPr>
        <w:pStyle w:val="Normal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Diz-se no mínimo, porquanto acredita-se na necessidade de aprimoramento da regulamentação, fazendo coincidir a periodicidade do envio dos relatórios à própria obrigatoriedade de visitas, isto é, </w:t>
      </w:r>
      <w:r>
        <w:rPr>
          <w:rFonts w:ascii="Palatino Linotype" w:hAnsi="Palatino Linotype"/>
          <w:b/>
          <w:color w:val="000000"/>
        </w:rPr>
        <w:t>ambas semestrais</w:t>
      </w:r>
      <w:r>
        <w:rPr>
          <w:rFonts w:ascii="Palatino Linotype" w:hAnsi="Palatino Linotype"/>
          <w:color w:val="000000"/>
        </w:rPr>
        <w:t>, por todos os motivos acima aduzidos, enfatizando a existência de outros instrumentais e/ou atribuições que igualmente asseguram a efetiva fiscalização por parte dos membros do Ministério Público, principalmente em relação aos casos individuais, restando as questões estruturais e institucionais devidamente sopesadas a cada semestre.</w:t>
      </w:r>
    </w:p>
    <w:p>
      <w:pPr>
        <w:pStyle w:val="Normal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Atenciosamente,</w:t>
      </w:r>
    </w:p>
    <w:p>
      <w:pPr>
        <w:pStyle w:val="Western"/>
        <w:spacing w:lineRule="auto" w:line="360" w:before="0" w:after="0"/>
        <w:ind w:firstLine="214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Western"/>
        <w:spacing w:lineRule="auto" w:line="360" w:before="0" w:after="0"/>
        <w:ind w:firstLine="214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Corpodetexto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Corpodetexto"/>
        <w:jc w:val="center"/>
        <w:rPr>
          <w:rFonts w:ascii="Palatino Linotype" w:hAnsi="Palatino Linotype" w:cs="Arial"/>
          <w:b/>
          <w:b/>
          <w:sz w:val="22"/>
          <w:szCs w:val="22"/>
        </w:rPr>
      </w:pPr>
      <w:r>
        <w:rPr>
          <w:rFonts w:cs="Arial" w:ascii="Palatino Linotype" w:hAnsi="Palatino Linotype"/>
          <w:b/>
          <w:sz w:val="22"/>
          <w:szCs w:val="22"/>
        </w:rPr>
        <w:t>Andrea Teixeira de Souza</w:t>
      </w:r>
    </w:p>
    <w:p>
      <w:pPr>
        <w:pStyle w:val="Corpodetexto"/>
        <w:jc w:val="center"/>
        <w:rPr>
          <w:rFonts w:ascii="Palatino Linotype" w:hAnsi="Palatino Linotype" w:cs="Arial"/>
          <w:b/>
          <w:b/>
          <w:sz w:val="22"/>
          <w:szCs w:val="22"/>
        </w:rPr>
      </w:pPr>
      <w:r>
        <w:rPr>
          <w:rFonts w:cs="Arial" w:ascii="Palatino Linotype" w:hAnsi="Palatino Linotype"/>
          <w:b/>
          <w:sz w:val="22"/>
          <w:szCs w:val="22"/>
        </w:rPr>
        <w:t>Promotora de Justiça - Ministério Público do Estado do Espírito Santo</w:t>
      </w:r>
    </w:p>
    <w:p>
      <w:pPr>
        <w:pStyle w:val="Corpodetexto"/>
        <w:jc w:val="center"/>
        <w:rPr>
          <w:rFonts w:ascii="Palatino Linotype" w:hAnsi="Palatino Linotype" w:cs="Arial"/>
          <w:b/>
          <w:b/>
          <w:sz w:val="22"/>
          <w:szCs w:val="22"/>
        </w:rPr>
      </w:pPr>
      <w:r>
        <w:rPr>
          <w:rFonts w:cs="Arial" w:ascii="Palatino Linotype" w:hAnsi="Palatino Linotype"/>
          <w:b/>
          <w:sz w:val="22"/>
          <w:szCs w:val="22"/>
        </w:rPr>
        <w:t>Coordenadora da Comissão Permanente da Infância e Juventude-COPEIJ/GNDH</w:t>
      </w:r>
    </w:p>
    <w:p>
      <w:pPr>
        <w:pStyle w:val="Corpodetexto"/>
        <w:jc w:val="center"/>
        <w:rPr/>
      </w:pPr>
      <w:r>
        <w:rPr>
          <w:rFonts w:cs="Arial" w:ascii="Palatino Linotype" w:hAnsi="Palatino Linotype"/>
          <w:b/>
          <w:sz w:val="22"/>
          <w:szCs w:val="22"/>
          <w:u w:val="single"/>
        </w:rPr>
        <w:t>caij@mpes.mp.br</w:t>
      </w:r>
      <w:r>
        <w:rPr>
          <w:rFonts w:cs="Arial" w:ascii="Palatino Linotype" w:hAnsi="Palatino Linotype"/>
          <w:b/>
          <w:sz w:val="22"/>
          <w:szCs w:val="22"/>
        </w:rPr>
        <w:t xml:space="preserve"> – (27) 3194-4727 ou (27) 99933-7070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3085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rbe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alatino Linotyp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38483819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Corpodetexto"/>
      <w:spacing w:lineRule="auto" w:line="360"/>
      <w:jc w:val="center"/>
      <w:rPr>
        <w:color w:val="000000"/>
        <w:sz w:val="20"/>
      </w:rPr>
    </w:pPr>
    <w:r>
      <w:rPr>
        <w:color w:val="000000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114300" distR="114300" simplePos="0" locked="0" layoutInCell="1" allowOverlap="1" relativeHeight="4">
          <wp:simplePos x="0" y="0"/>
          <wp:positionH relativeFrom="column">
            <wp:posOffset>1451610</wp:posOffset>
          </wp:positionH>
          <wp:positionV relativeFrom="paragraph">
            <wp:posOffset>-149860</wp:posOffset>
          </wp:positionV>
          <wp:extent cx="2440940" cy="1551940"/>
          <wp:effectExtent l="0" t="0" r="0" b="0"/>
          <wp:wrapTight wrapText="bothSides">
            <wp:wrapPolygon edited="0">
              <wp:start x="-19" y="0"/>
              <wp:lineTo x="-19" y="21191"/>
              <wp:lineTo x="21407" y="21191"/>
              <wp:lineTo x="21407" y="0"/>
              <wp:lineTo x="-19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55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15e1"/>
    <w:pPr>
      <w:keepNext/>
      <w:keepLines/>
      <w:spacing w:lineRule="auto" w:line="240"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a19e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a19e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a19e8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0a19e8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0a19e8"/>
    <w:rPr/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0a19e8"/>
    <w:rPr>
      <w:rFonts w:ascii="Corbel" w:hAnsi="Corbel" w:eastAsia="Times New Roman" w:cs="Times New Roman"/>
      <w:sz w:val="20"/>
      <w:szCs w:val="20"/>
      <w:lang w:eastAsia="pt-BR"/>
    </w:rPr>
  </w:style>
  <w:style w:type="character" w:styleId="Footnotereference">
    <w:name w:val="footnote reference"/>
    <w:semiHidden/>
    <w:qFormat/>
    <w:rsid w:val="000a19e8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8d68b5"/>
    <w:rPr>
      <w:color w:val="0000FF" w:themeColor="hyperlink"/>
      <w:u w:val="single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ae15e1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pt-BR"/>
    </w:rPr>
  </w:style>
  <w:style w:type="character" w:styleId="Fontepargpadro1" w:customStyle="1">
    <w:name w:val="Fonte parág. padrão1"/>
    <w:qFormat/>
    <w:rsid w:val="00ae15e1"/>
    <w:rPr/>
  </w:style>
  <w:style w:type="character" w:styleId="Caracteresdenotaderodap" w:customStyle="1">
    <w:name w:val="Caracteres de nota de rodapé"/>
    <w:qFormat/>
    <w:rsid w:val="00ae15e1"/>
    <w:rPr/>
  </w:style>
  <w:style w:type="character" w:styleId="Refdenotaderodap1" w:customStyle="1">
    <w:name w:val="Ref. de nota de rodapé1"/>
    <w:qFormat/>
    <w:rsid w:val="00ae15e1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0a19e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a19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a19e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a19e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0a19e8"/>
    <w:pPr>
      <w:spacing w:before="0" w:after="120"/>
      <w:ind w:left="283" w:hanging="0"/>
    </w:pPr>
    <w:rPr/>
  </w:style>
  <w:style w:type="paragraph" w:styleId="Footnotetext">
    <w:name w:val="footnote text"/>
    <w:basedOn w:val="Normal"/>
    <w:link w:val="TextodenotaderodapChar"/>
    <w:semiHidden/>
    <w:qFormat/>
    <w:rsid w:val="000a19e8"/>
    <w:pPr>
      <w:spacing w:lineRule="auto" w:line="240" w:before="0" w:after="0"/>
    </w:pPr>
    <w:rPr>
      <w:rFonts w:ascii="Corbel" w:hAnsi="Corbel" w:eastAsia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75df4"/>
    <w:pPr>
      <w:spacing w:before="0" w:after="200"/>
      <w:ind w:left="720" w:hanging="0"/>
      <w:contextualSpacing/>
    </w:pPr>
    <w:rPr/>
  </w:style>
  <w:style w:type="paragraph" w:styleId="Listawestern" w:customStyle="1">
    <w:name w:val="lista-western"/>
    <w:basedOn w:val="Normal"/>
    <w:qFormat/>
    <w:rsid w:val="006748a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6748a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9E11-8426-4296-A3AC-A363EF4F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LibreOffice/5.1.3.2$Linux_X86_64 LibreOffice_project/10m0$Build-2</Application>
  <Pages>4</Pages>
  <Words>890</Words>
  <CharactersWithSpaces>4806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2016-06-29T22:01:00Z</dcterms:created>
  <dc:creator>Georgya Luiza da Silva</dc:creator>
  <dc:description/>
  <dc:language>pt-BR</dc:language>
  <cp:lastModifiedBy/>
  <cp:lastPrinted>2015-06-16T20:36:00Z</cp:lastPrinted>
  <dcterms:modified xsi:type="dcterms:W3CDTF">2016-11-14T15:07:22Z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