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76" w:before="0" w:after="140"/>
        <w:ind w:left="0" w:right="0" w:firstLine="1701"/>
        <w:jc w:val="both"/>
        <w:textAlignment w:val="baseline"/>
        <w:rPr>
          <w:rFonts w:ascii="Cambria" w:hAnsi="Cambria" w:eastAsia="TimesNewRomanPSMT;Times New Roman" w:cs="Cambria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lang w:val="pt-BR" w:eastAsia="zh-CN" w:bidi="ar-SA"/>
        </w:rPr>
      </w:pPr>
      <w:r>
        <w:rPr/>
      </w:r>
    </w:p>
    <w:p>
      <w:pPr>
        <w:pStyle w:val="Corpodotexto"/>
        <w:widowControl w:val="false"/>
        <w:suppressAutoHyphens w:val="true"/>
        <w:bidi w:val="0"/>
        <w:spacing w:lineRule="auto" w:line="276" w:before="0" w:after="140"/>
        <w:ind w:left="0" w:right="0" w:firstLine="1701"/>
        <w:jc w:val="both"/>
        <w:textAlignment w:val="baseline"/>
        <w:rPr>
          <w:rFonts w:ascii="Cambria" w:hAnsi="Cambria" w:eastAsia="TimesNewRomanPSMT;Times New Roman" w:cs="Cambria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lang w:val="pt-BR" w:eastAsia="zh-CN" w:bidi="ar-SA"/>
        </w:rPr>
      </w:pPr>
      <w:r>
        <w:rPr/>
      </w:r>
    </w:p>
    <w:p>
      <w:pPr>
        <w:pStyle w:val="Corpodotexto"/>
        <w:widowControl w:val="false"/>
        <w:suppressAutoHyphens w:val="true"/>
        <w:bidi w:val="0"/>
        <w:spacing w:lineRule="auto" w:line="276" w:before="0" w:after="140"/>
        <w:ind w:left="0" w:right="0" w:firstLine="1701"/>
        <w:jc w:val="both"/>
        <w:textAlignment w:val="baseline"/>
        <w:rPr>
          <w:rFonts w:ascii="Cambria" w:hAnsi="Cambria" w:eastAsia="TimesNewRomanPSMT;Times New Roman" w:cs="Cambria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lang w:val="pt-BR" w:eastAsia="zh-CN" w:bidi="ar-SA"/>
        </w:rPr>
      </w:pPr>
      <w:r>
        <w:rPr/>
      </w:r>
    </w:p>
    <w:p>
      <w:pPr>
        <w:pStyle w:val="Corpodotexto"/>
        <w:widowControl w:val="false"/>
        <w:suppressAutoHyphens w:val="true"/>
        <w:bidi w:val="0"/>
        <w:spacing w:lineRule="auto" w:line="276" w:before="0" w:after="140"/>
        <w:ind w:left="0" w:right="0" w:firstLine="1701"/>
        <w:jc w:val="both"/>
        <w:textAlignment w:val="baseline"/>
        <w:rPr>
          <w:rFonts w:ascii="Cambria" w:hAnsi="Cambria" w:eastAsia="TimesNewRomanPSMT;Times New Roman" w:cs="Cambria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lang w:val="pt-BR" w:eastAsia="zh-CN" w:bidi="ar-SA"/>
        </w:rPr>
      </w:pPr>
      <w:r>
        <w:rPr/>
      </w:r>
    </w:p>
    <w:p>
      <w:pPr>
        <w:pStyle w:val="Corpodotexto"/>
        <w:widowControl w:val="false"/>
        <w:suppressAutoHyphens w:val="true"/>
        <w:bidi w:val="0"/>
        <w:spacing w:lineRule="auto" w:line="276" w:before="0" w:after="140"/>
        <w:ind w:left="0" w:right="0" w:firstLine="1701"/>
        <w:jc w:val="both"/>
        <w:textAlignment w:val="baseline"/>
        <w:rPr/>
      </w:pPr>
      <w:r>
        <w:rPr>
          <w:rFonts w:eastAsia="TimesNewRomanPSMT;Times New Roman" w:cs="Cambria" w:ascii="Cambria" w:hAnsi="Cambria"/>
          <w:b w:val="false"/>
          <w:i w:val="false"/>
          <w:caps w:val="false"/>
          <w:smallCaps w:val="false"/>
          <w:color w:val="auto"/>
          <w:spacing w:val="0"/>
          <w:sz w:val="24"/>
          <w:szCs w:val="24"/>
          <w:lang w:val="pt-BR" w:eastAsia="zh-CN" w:bidi="ar-SA"/>
        </w:rPr>
        <w:t>Trata-se de prisão em flagrante delito de __________________, o qual foi detido por policiais militares que estavam em patrulha ostensiva na (Rua) _______________, na data de XX/XX/2024, quando este transportava os eleitores ___________________, sob a acusação de praticar o disposto no art. 11, III, da Lei 6.091/74 Código Eleitoral, conforme consta no auto de prisão em flagrante lavrado na xxª Delegacia de Polícia.</w:t>
      </w:r>
    </w:p>
    <w:p>
      <w:pPr>
        <w:pStyle w:val="Corpodotexto"/>
        <w:widowControl w:val="false"/>
        <w:suppressAutoHyphens w:val="true"/>
        <w:bidi w:val="0"/>
        <w:spacing w:lineRule="auto" w:line="276" w:before="0" w:after="140"/>
        <w:ind w:left="0" w:right="0" w:firstLine="1701"/>
        <w:jc w:val="both"/>
        <w:textAlignment w:val="baseline"/>
        <w:rPr>
          <w:rFonts w:ascii="Cambria" w:hAnsi="Cambria" w:eastAsia="TimesNewRomanPSMT;Times New Roman" w:cs="Cambria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lang w:val="pt-BR" w:eastAsia="zh-CN" w:bidi="ar-SA"/>
        </w:rPr>
      </w:pPr>
      <w:r>
        <w:rPr>
          <w:rFonts w:eastAsia="TimesNewRomanPSMT;Times New Roman" w:cs="Cambria" w:ascii="Cambria" w:hAnsi="Cambria"/>
          <w:b w:val="false"/>
          <w:i w:val="false"/>
          <w:caps w:val="false"/>
          <w:smallCaps w:val="false"/>
          <w:color w:val="auto"/>
          <w:spacing w:val="0"/>
          <w:sz w:val="24"/>
          <w:szCs w:val="24"/>
          <w:lang w:val="pt-BR" w:eastAsia="zh-CN" w:bidi="ar-SA"/>
        </w:rPr>
      </w:r>
    </w:p>
    <w:p>
      <w:pPr>
        <w:pStyle w:val="Corpodotexto"/>
        <w:widowControl w:val="false"/>
        <w:suppressAutoHyphens w:val="true"/>
        <w:bidi w:val="0"/>
        <w:spacing w:lineRule="auto" w:line="276" w:before="0" w:after="140"/>
        <w:ind w:left="0" w:right="0" w:firstLine="1701"/>
        <w:jc w:val="both"/>
        <w:textAlignment w:val="baseline"/>
        <w:rPr>
          <w:rFonts w:ascii="Cambria" w:hAnsi="Cambria" w:eastAsia="TimesNewRomanPSMT;Times New Roman" w:cs="Cambria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lang w:val="pt-BR" w:eastAsia="zh-CN" w:bidi="ar-SA"/>
        </w:rPr>
      </w:pPr>
      <w:r>
        <w:rPr>
          <w:rFonts w:eastAsia="TimesNewRomanPSMT;Times New Roman" w:cs="Cambria" w:ascii="Cambria" w:hAnsi="Cambria"/>
          <w:b w:val="false"/>
          <w:i w:val="false"/>
          <w:caps w:val="false"/>
          <w:smallCaps w:val="false"/>
          <w:color w:val="auto"/>
          <w:spacing w:val="0"/>
          <w:sz w:val="24"/>
          <w:szCs w:val="24"/>
          <w:lang w:val="pt-BR" w:eastAsia="zh-CN" w:bidi="ar-SA"/>
        </w:rPr>
        <w:t>Ocorre que se verificou que o transporte realizado incluía familiares e vizinhos, sem quaisquer finalidades referentes à maculação da lisura do pleito eleitoral.</w:t>
      </w:r>
    </w:p>
    <w:p>
      <w:pPr>
        <w:pStyle w:val="Corpodotexto"/>
        <w:widowControl w:val="false"/>
        <w:suppressAutoHyphens w:val="true"/>
        <w:bidi w:val="0"/>
        <w:spacing w:lineRule="auto" w:line="276" w:before="0" w:after="140"/>
        <w:ind w:left="0" w:right="0" w:firstLine="1701"/>
        <w:jc w:val="both"/>
        <w:textAlignment w:val="baseline"/>
        <w:rPr>
          <w:rFonts w:ascii="Cambria" w:hAnsi="Cambria" w:eastAsia="TimesNewRomanPSMT;Times New Roman" w:cs="Cambria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lang w:val="pt-BR" w:eastAsia="zh-CN" w:bidi="ar-SA"/>
        </w:rPr>
      </w:pPr>
      <w:r>
        <w:rPr>
          <w:rFonts w:eastAsia="TimesNewRomanPSMT;Times New Roman" w:cs="Cambria" w:ascii="Cambria" w:hAnsi="Cambria"/>
          <w:b w:val="false"/>
          <w:i w:val="false"/>
          <w:caps w:val="false"/>
          <w:smallCaps w:val="false"/>
          <w:color w:val="auto"/>
          <w:spacing w:val="0"/>
          <w:sz w:val="24"/>
          <w:szCs w:val="24"/>
          <w:lang w:val="pt-BR" w:eastAsia="zh-CN" w:bidi="ar-SA"/>
        </w:rPr>
      </w:r>
    </w:p>
    <w:p>
      <w:pPr>
        <w:pStyle w:val="Corpodotexto"/>
        <w:widowControl w:val="false"/>
        <w:suppressAutoHyphens w:val="true"/>
        <w:bidi w:val="0"/>
        <w:spacing w:lineRule="auto" w:line="276" w:before="0" w:after="140"/>
        <w:ind w:left="0" w:right="0" w:firstLine="1701"/>
        <w:jc w:val="both"/>
        <w:textAlignment w:val="baseline"/>
        <w:rPr/>
      </w:pPr>
      <w:r>
        <w:rPr>
          <w:rFonts w:eastAsia="TimesNewRomanPSMT;Times New Roman" w:cs="Cambria" w:ascii="Cambria" w:hAnsi="Cambria"/>
          <w:b w:val="false"/>
          <w:i w:val="false"/>
          <w:caps w:val="false"/>
          <w:smallCaps w:val="false"/>
          <w:color w:val="auto"/>
          <w:spacing w:val="0"/>
          <w:sz w:val="24"/>
          <w:szCs w:val="24"/>
          <w:lang w:val="pt-BR" w:eastAsia="zh-CN" w:bidi="ar-SA"/>
        </w:rPr>
        <w:t>O cerceamento de sua liberdade constitui, assim, coação ilegal, por ser nula. Isso porque o crime acima tipificado exige a comprovação do dolo específico para que ocorra.</w:t>
      </w:r>
    </w:p>
    <w:p>
      <w:pPr>
        <w:pStyle w:val="Corpodotexto"/>
        <w:widowControl w:val="false"/>
        <w:suppressAutoHyphens w:val="true"/>
        <w:bidi w:val="0"/>
        <w:spacing w:lineRule="auto" w:line="276" w:before="0" w:after="140"/>
        <w:ind w:left="0" w:right="0" w:firstLine="1701"/>
        <w:jc w:val="both"/>
        <w:textAlignment w:val="baseline"/>
        <w:rPr>
          <w:rFonts w:ascii="Cambria" w:hAnsi="Cambria" w:eastAsia="TimesNewRomanPSMT;Times New Roman" w:cs="Cambria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lang w:val="pt-BR" w:eastAsia="zh-CN" w:bidi="ar-SA"/>
        </w:rPr>
      </w:pPr>
      <w:r>
        <w:rPr>
          <w:rFonts w:eastAsia="TimesNewRomanPSMT;Times New Roman" w:cs="Cambria" w:ascii="Cambria" w:hAnsi="Cambria"/>
          <w:b w:val="false"/>
          <w:i w:val="false"/>
          <w:caps w:val="false"/>
          <w:smallCaps w:val="false"/>
          <w:color w:val="auto"/>
          <w:spacing w:val="0"/>
          <w:sz w:val="24"/>
          <w:szCs w:val="24"/>
          <w:lang w:val="pt-BR" w:eastAsia="zh-CN" w:bidi="ar-SA"/>
        </w:rPr>
      </w:r>
    </w:p>
    <w:p>
      <w:pPr>
        <w:pStyle w:val="Corpodotexto"/>
        <w:widowControl w:val="false"/>
        <w:suppressAutoHyphens w:val="true"/>
        <w:bidi w:val="0"/>
        <w:spacing w:lineRule="auto" w:line="276" w:before="0" w:after="140"/>
        <w:ind w:left="0" w:right="0" w:firstLine="1701"/>
        <w:jc w:val="both"/>
        <w:textAlignment w:val="baseline"/>
        <w:rPr>
          <w:rFonts w:ascii="Cambria" w:hAnsi="Cambria" w:eastAsia="TimesNewRomanPSMT;Times New Roman" w:cs="Cambria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lang w:val="pt-BR" w:eastAsia="zh-CN" w:bidi="ar-SA"/>
        </w:rPr>
      </w:pPr>
      <w:r>
        <w:rPr>
          <w:rFonts w:eastAsia="TimesNewRomanPSMT;Times New Roman" w:cs="Cambria" w:ascii="Cambria" w:hAnsi="Cambria"/>
          <w:b w:val="false"/>
          <w:i w:val="false"/>
          <w:caps w:val="false"/>
          <w:smallCaps w:val="false"/>
          <w:color w:val="auto"/>
          <w:spacing w:val="0"/>
          <w:sz w:val="24"/>
          <w:szCs w:val="24"/>
          <w:lang w:val="pt-BR" w:eastAsia="zh-CN" w:bidi="ar-SA"/>
        </w:rPr>
        <w:t>Vejamos:</w:t>
      </w:r>
    </w:p>
    <w:p>
      <w:pPr>
        <w:pStyle w:val="Corpodotexto"/>
        <w:widowControl/>
        <w:suppressAutoHyphens w:val="true"/>
        <w:bidi w:val="0"/>
        <w:spacing w:lineRule="auto" w:line="276" w:before="0" w:after="120"/>
        <w:ind w:left="2268" w:right="0" w:hanging="0"/>
        <w:jc w:val="both"/>
        <w:textAlignment w:val="baseline"/>
        <w:rPr>
          <w:rFonts w:ascii="Cambria" w:hAnsi="Cambria" w:eastAsia="TimesNewRomanPSMT;Times New Roman" w:cs="Cambria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2"/>
          <w:szCs w:val="22"/>
          <w:lang w:val="pt-BR" w:eastAsia="zh-CN" w:bidi="ar-SA"/>
        </w:rPr>
      </w:pPr>
      <w:r>
        <w:rPr>
          <w:rFonts w:eastAsia="TimesNewRomanPSMT;Times New Roman" w:cs="Cambria" w:ascii="Cambria" w:hAnsi="Cambria"/>
          <w:b w:val="false"/>
          <w:i w:val="false"/>
          <w:caps w:val="false"/>
          <w:smallCaps w:val="false"/>
          <w:color w:val="auto"/>
          <w:spacing w:val="0"/>
          <w:sz w:val="22"/>
          <w:szCs w:val="22"/>
          <w:lang w:val="pt-BR" w:eastAsia="zh-CN" w:bidi="ar-SA"/>
        </w:rPr>
        <w:t>Recurso Criminal. Denúncia. Crime Eleitoral. Transporte Irregular de  Eleitores. Precedentes. Aliciamento. Dolo Específico. Não  Comprovação. Crime de trânsito. Comprovação. Provimento parcial.  1. Para a aplicação das penas previstas na Lei 6.091/74 art. 11, impõe-se, além da comprovação do transporte de eleitores nas circunstâncias  previstas  no  diploma legal, a constatação  de  dolo  específico  constante  no aliciamento em  prol  de  partido  ou  candidato, conforme  decisões precedentes  do  Tribunal Superior Eleitoral; 2. A comprovação da condução de veículo automotor, em via pública,  sem  a  devida Permissão para dirigir ou Habilitação enseja a aplicação da penalidade prevista em lei (art. 309 da Lei 9.503/97). (TRE-PE - RECRI: 74 PE, Relator: FRANCISCO GERALDO APOLIANO DIAS, Data de Julgamento: 22/05/2007, Data de Publicação: DOE - Diário Oficial do Estado, Tomo 114, Data 21/6/2007, Página 20/21)</w:t>
      </w:r>
    </w:p>
    <w:p>
      <w:pPr>
        <w:pStyle w:val="Corpodotexto"/>
        <w:ind w:left="0" w:right="0" w:hanging="0"/>
        <w:jc w:val="both"/>
        <w:rPr>
          <w:rFonts w:ascii="Cambria" w:hAnsi="Cambria" w:eastAsia="TimesNewRomanPSMT;Times New Roman" w:cs="Cambria"/>
          <w:color w:val="auto"/>
          <w:sz w:val="22"/>
          <w:szCs w:val="22"/>
          <w:lang w:val="pt-BR" w:eastAsia="zh-CN" w:bidi="ar-SA"/>
        </w:rPr>
      </w:pPr>
      <w:r>
        <w:rPr>
          <w:rFonts w:eastAsia="TimesNewRomanPSMT;Times New Roman" w:cs="Cambria" w:ascii="Cambria" w:hAnsi="Cambria"/>
          <w:color w:val="auto"/>
          <w:sz w:val="22"/>
          <w:szCs w:val="22"/>
          <w:lang w:val="pt-BR" w:eastAsia="zh-CN" w:bidi="ar-SA"/>
        </w:rPr>
      </w:r>
    </w:p>
    <w:p>
      <w:pPr>
        <w:pStyle w:val="Corpodotexto"/>
        <w:widowControl w:val="false"/>
        <w:suppressAutoHyphens w:val="true"/>
        <w:bidi w:val="0"/>
        <w:spacing w:lineRule="auto" w:line="276" w:before="0" w:after="140"/>
        <w:ind w:left="0" w:right="0" w:firstLine="1701"/>
        <w:jc w:val="both"/>
        <w:textAlignment w:val="baseline"/>
        <w:rPr>
          <w:rFonts w:ascii="Cambria" w:hAnsi="Cambria"/>
          <w:color w:val="C9211E"/>
          <w:sz w:val="24"/>
          <w:szCs w:val="24"/>
        </w:rPr>
      </w:pPr>
      <w:r>
        <w:rPr>
          <w:rFonts w:eastAsia="TimesNewRomanPSMT;Times New Roman" w:cs="Cambria" w:ascii="Cambria" w:hAnsi="Cambria"/>
          <w:b w:val="false"/>
          <w:i w:val="false"/>
          <w:caps w:val="false"/>
          <w:smallCaps w:val="false"/>
          <w:color w:val="auto"/>
          <w:spacing w:val="0"/>
          <w:sz w:val="24"/>
          <w:szCs w:val="24"/>
          <w:lang w:val="pt-BR" w:eastAsia="zh-CN" w:bidi="ar-SA"/>
        </w:rPr>
        <w:t xml:space="preserve">Assim, considerando ausente o requisito para que exista a flagrância do delito em questão, que sequer ocorreu, manifesta-se o Ministério Público Eleitoral pelo </w:t>
      </w:r>
      <w:r>
        <w:rPr>
          <w:rFonts w:eastAsia="TimesNewRomanPSMT;Times New Roman" w:cs="Cambria" w:ascii="Cambria" w:hAnsi="Cambria"/>
          <w:b/>
          <w:bCs/>
          <w:i w:val="false"/>
          <w:caps w:val="false"/>
          <w:smallCaps w:val="false"/>
          <w:color w:val="auto"/>
          <w:spacing w:val="0"/>
          <w:sz w:val="24"/>
          <w:szCs w:val="24"/>
          <w:lang w:val="pt-BR" w:eastAsia="zh-CN" w:bidi="ar-SA"/>
        </w:rPr>
        <w:t>Relaxamento da Prisão</w:t>
      </w:r>
      <w:r>
        <w:rPr>
          <w:rFonts w:eastAsia="TimesNewRomanPSMT;Times New Roman" w:cs="Cambria" w:ascii="Cambria" w:hAnsi="Cambria"/>
          <w:b w:val="false"/>
          <w:i w:val="false"/>
          <w:caps w:val="false"/>
          <w:smallCaps w:val="false"/>
          <w:color w:val="auto"/>
          <w:spacing w:val="0"/>
          <w:sz w:val="24"/>
          <w:szCs w:val="24"/>
          <w:lang w:val="pt-BR" w:eastAsia="zh-CN" w:bidi="ar-SA"/>
        </w:rPr>
        <w:t>, expedindo-se o Alvará de Soltura, em face da atipicidade da conduta.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LibreOffice/7.2.6.2$Windows_X86_64 LibreOffice_project/b0ec3a565991f7569a5a7f5d24fed7f52653d754</Application>
  <AppVersion>15.0000</AppVersion>
  <Pages>2</Pages>
  <Words>296</Words>
  <Characters>1746</Characters>
  <CharactersWithSpaces>2054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2023-06-11T04:00:22Z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