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  <w:t xml:space="preserve">Notícia de Fato nº 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  <w:t xml:space="preserve">Interessada: 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 xml:space="preserve">Cuidam os presentes autos de Notícia de Fato instaurada a partir de constatação pela Polícia Federal de que a estrangeira ______________, boliviana residente há cerca de 15 anos no Brasil, obteve inscrição eleitoral ilicitamente, já que até o presente momento não foi concluído o seu processo de naturalização.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>A mencionada estrangeira se alistou como eleitora em 20__, obtendo a inscrição nº ____________, na seção nº ___ da ___ª Zona Eleitoral de ________/TO, tendo efetuado o recadastramento biométrico em 20__.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 xml:space="preserve">A Constituição Federal estabelece em seu artigo 14, § 2º, que não podem alistar-se como eleitores os estrangeiros, tendo este preceito constitucional sido violado com o alistamento da referida estrangeira.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 xml:space="preserve">Por outro lado, o artigo 71, inciso I, do Código Eleitoral estabelece que são causas de cancelamento da inscrição a infração dos artigos 5º e 42, sendo que o mencionado artigo 5º trata das hipóteses em que o alistamento eleitoral é vedado, ou seja, deve ser cancelada a inscrição do eleitor que a obteve nas hipóteses em que o alistamento era vedado. 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 xml:space="preserve">Já o artigo 289 do Código Eleitoral dispõe que configura crime eleitoral inscrever-se fraudulentamente o eleitor.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 xml:space="preserve">Assim sendo, tratando-se de eleitora estrangeira para quem o alistamento é vedado pela própria Constituição Federal, não resta dúvida de que a sua inscrição eleitoral deve ser cancelada, caso não o tenha sido ainda, uma vez que o Tribunal Regional Eleitoral já tomou conhecimento do teor da presente notícia de fato.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Cs w:val="24"/>
        </w:rPr>
        <w:t>Em relação ao crime eleitoral estão sendo adotadas as providências cabíveis.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Isto posto, considerando que a inscrição eleitoral da estrangeira ______________, nº ______________, zona ___, seção ___, foi obtida de forma contrária ao disposto na Constituição Federal e nas instruções em vigor, requer o Ministério Público a instauração do procedimento de cancelamento da referida inscrição, observado o disposto nos artigos 77 a 80 do Código Eleitoral.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325</Words>
  <Characters>1791</Characters>
  <CharactersWithSpaces>2111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2023-06-11T04:45:07Z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