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firstLine="708"/>
        <w:jc w:val="center"/>
        <w:rPr>
          <w:rFonts w:ascii="Cambria" w:hAnsi="Cambria"/>
          <w:szCs w:val="24"/>
        </w:rPr>
      </w:pPr>
      <w:r>
        <w:rPr>
          <w:rFonts w:ascii="Cambria" w:hAnsi="Cambria"/>
          <w:b/>
          <w:szCs w:val="24"/>
        </w:rPr>
        <w:t>RECOMENDAÇÃO N.º _____/2024</w:t>
      </w:r>
    </w:p>
    <w:p>
      <w:pPr>
        <w:pStyle w:val="Standard"/>
        <w:ind w:firstLine="708"/>
        <w:jc w:val="center"/>
        <w:rPr>
          <w:rFonts w:ascii="Cambria" w:hAnsi="Cambria"/>
          <w:szCs w:val="24"/>
        </w:rPr>
      </w:pPr>
      <w:r>
        <w:rPr>
          <w:rFonts w:ascii="Cambria" w:hAnsi="Cambria"/>
          <w:szCs w:val="24"/>
        </w:rPr>
      </w:r>
    </w:p>
    <w:p>
      <w:pPr>
        <w:pStyle w:val="Standard"/>
        <w:jc w:val="both"/>
        <w:rPr>
          <w:rFonts w:ascii="Cambria" w:hAnsi="Cambria"/>
          <w:szCs w:val="24"/>
        </w:rPr>
      </w:pPr>
      <w:r>
        <w:rPr>
          <w:rFonts w:ascii="Cambria" w:hAnsi="Cambria"/>
          <w:szCs w:val="24"/>
        </w:rPr>
      </w:r>
    </w:p>
    <w:p>
      <w:pPr>
        <w:pStyle w:val="Standard"/>
        <w:jc w:val="both"/>
        <w:rPr>
          <w:rFonts w:ascii="Cambria" w:hAnsi="Cambria"/>
          <w:szCs w:val="24"/>
        </w:rPr>
      </w:pPr>
      <w:r>
        <w:rPr>
          <w:rFonts w:ascii="Cambria" w:hAnsi="Cambria"/>
          <w:szCs w:val="24"/>
        </w:rPr>
      </w:r>
    </w:p>
    <w:p>
      <w:pPr>
        <w:pStyle w:val="Standard"/>
        <w:jc w:val="both"/>
        <w:rPr>
          <w:rFonts w:ascii="Cambria" w:hAnsi="Cambria"/>
          <w:szCs w:val="24"/>
        </w:rPr>
      </w:pPr>
      <w:r>
        <w:rPr>
          <w:rFonts w:ascii="Cambria" w:hAnsi="Cambria"/>
          <w:szCs w:val="24"/>
        </w:rPr>
      </w:r>
    </w:p>
    <w:p>
      <w:pPr>
        <w:pStyle w:val="Standard"/>
        <w:jc w:val="both"/>
        <w:rPr>
          <w:rFonts w:ascii="Cambria" w:hAnsi="Cambria"/>
          <w:szCs w:val="24"/>
        </w:rPr>
      </w:pPr>
      <w:r>
        <w:rPr>
          <w:rFonts w:ascii="Cambria" w:hAnsi="Cambria"/>
          <w:szCs w:val="24"/>
        </w:rPr>
      </w:r>
    </w:p>
    <w:p>
      <w:pPr>
        <w:pStyle w:val="Standard"/>
        <w:widowControl/>
        <w:suppressAutoHyphens w:val="true"/>
        <w:bidi w:val="0"/>
        <w:spacing w:lineRule="auto" w:line="360" w:before="120" w:after="120"/>
        <w:ind w:left="0" w:right="0" w:firstLine="1701"/>
        <w:jc w:val="both"/>
        <w:textAlignment w:val="baseline"/>
        <w:rPr>
          <w:rFonts w:ascii="Cambria" w:hAnsi="Cambria"/>
          <w:szCs w:val="24"/>
        </w:rPr>
      </w:pPr>
      <w:r>
        <w:rPr>
          <w:rFonts w:ascii="Cambria" w:hAnsi="Cambria"/>
          <w:color w:val="00000A"/>
          <w:szCs w:val="24"/>
        </w:rPr>
        <w:t>O representante do Ministério Público Eleitoral nesta zona, no uso de suas atribuições legais e na forma como dispõem os arts. 37, § 1º e 127 da Constituição Federal, Lei Complementar Federal nº 75/93; Lei Federal nº 8.625/93 (Lei Orgânica Nacional do M</w:t>
      </w:r>
      <w:r>
        <w:rPr>
          <w:rFonts w:ascii="Cambria" w:hAnsi="Cambria"/>
          <w:szCs w:val="24"/>
        </w:rPr>
        <w:t>inistério Público); Lei Federal nº 9.504/97 (Lei das Eleições) e demais disposições legais aplicáveis à espécie, e;</w:t>
      </w:r>
    </w:p>
    <w:p>
      <w:pPr>
        <w:pStyle w:val="Standard"/>
        <w:widowControl/>
        <w:suppressAutoHyphens w:val="true"/>
        <w:bidi w:val="0"/>
        <w:spacing w:lineRule="auto" w:line="360" w:before="120" w:after="120"/>
        <w:ind w:left="0" w:right="0"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o art. 73, VI, alínea “b”, da Lei n. 9.504/97, proíbe a autorização e a veiculação – pelas esferas administrativas cujos cargos estejam em disputa: § 3º – de publicidade institucional nos três meses que antecedem a eleição, qualquer que seja o seu conteúdo, ressalvadas situações de grave e urgente necessidade, mediante prévia autorização da Justiça Eleitoral:</w:t>
      </w:r>
    </w:p>
    <w:p>
      <w:pPr>
        <w:pStyle w:val="Standard"/>
        <w:widowControl/>
        <w:suppressAutoHyphens w:val="true"/>
        <w:overflowPunct w:val="false"/>
        <w:bidi w:val="0"/>
        <w:spacing w:lineRule="auto" w:line="360" w:before="0" w:after="240"/>
        <w:ind w:left="2268" w:right="-283" w:hanging="0"/>
        <w:jc w:val="both"/>
        <w:textAlignment w:val="baseline"/>
        <w:rPr>
          <w:rFonts w:ascii="Cambria" w:hAnsi="Cambria"/>
          <w:sz w:val="22"/>
          <w:szCs w:val="22"/>
        </w:rPr>
      </w:pPr>
      <w:r>
        <w:rPr>
          <w:rFonts w:ascii="Cambria" w:hAnsi="Cambria"/>
          <w:color w:val="00000A"/>
          <w:sz w:val="22"/>
          <w:szCs w:val="22"/>
        </w:rPr>
        <w:t>“</w:t>
      </w:r>
      <w:r>
        <w:rPr>
          <w:rFonts w:ascii="Cambria" w:hAnsi="Cambria"/>
          <w:color w:val="00000A"/>
          <w:sz w:val="22"/>
          <w:szCs w:val="22"/>
        </w:rPr>
        <w:t xml:space="preserve">b) com exceção da propaganda de produtos e serviços que tenham concorrência no mercado, </w:t>
      </w:r>
      <w:r>
        <w:rPr>
          <w:rFonts w:ascii="Cambria" w:hAnsi="Cambria"/>
          <w:b/>
          <w:iCs/>
          <w:color w:val="00000A"/>
          <w:sz w:val="22"/>
          <w:szCs w:val="22"/>
          <w:u w:val="thick"/>
        </w:rPr>
        <w:t>autorizar</w:t>
      </w:r>
      <w:r>
        <w:rPr>
          <w:rFonts w:ascii="Cambria" w:hAnsi="Cambria"/>
          <w:b/>
          <w:color w:val="00000A"/>
          <w:sz w:val="22"/>
          <w:szCs w:val="22"/>
          <w:u w:val="thick"/>
        </w:rPr>
        <w:t xml:space="preserve"> publicidade institucional</w:t>
      </w:r>
      <w:r>
        <w:rPr>
          <w:rFonts w:ascii="Cambria" w:hAnsi="Cambria"/>
          <w:color w:val="00000A"/>
          <w:sz w:val="22"/>
          <w:szCs w:val="22"/>
        </w:rPr>
        <w:t xml:space="preserve"> dos atos, programas, obras, serviços e campanhas dos órgãos públicos federais, estaduais ou municipais, ou das respectivas entidades da administração indireta, salvo em caso de </w:t>
      </w:r>
      <w:r>
        <w:rPr>
          <w:rFonts w:ascii="Cambria" w:hAnsi="Cambria"/>
          <w:b/>
          <w:color w:val="00000A"/>
          <w:sz w:val="22"/>
          <w:szCs w:val="22"/>
          <w:u w:val="thick"/>
        </w:rPr>
        <w:t>grave e urgente necessidade</w:t>
      </w:r>
      <w:r>
        <w:rPr>
          <w:rFonts w:ascii="Cambria" w:hAnsi="Cambria"/>
          <w:color w:val="00000A"/>
          <w:sz w:val="22"/>
          <w:szCs w:val="22"/>
        </w:rPr>
        <w:t xml:space="preserve"> pública, </w:t>
      </w:r>
      <w:r>
        <w:rPr>
          <w:rFonts w:ascii="Cambria" w:hAnsi="Cambria"/>
          <w:b/>
          <w:color w:val="00000A"/>
          <w:sz w:val="22"/>
          <w:szCs w:val="22"/>
          <w:u w:val="thick"/>
        </w:rPr>
        <w:t>assim reconhecida pela Justiça Eleitoral</w:t>
      </w:r>
      <w:r>
        <w:rPr>
          <w:rFonts w:ascii="Cambria" w:hAnsi="Cambria"/>
          <w:color w:val="00000A"/>
          <w:sz w:val="22"/>
          <w:szCs w:val="22"/>
        </w:rPr>
        <w:t>;”</w:t>
      </w:r>
    </w:p>
    <w:p>
      <w:pPr>
        <w:pStyle w:val="Standard"/>
        <w:widowControl/>
        <w:suppressAutoHyphens w:val="true"/>
        <w:bidi w:val="0"/>
        <w:spacing w:lineRule="auto" w:line="360" w:before="240" w:after="24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a publicação de atos oficiais como leis, decretos, portarias, dentre outros, por ser requisito de validade do ato, não caracteriza publicidade institucional, daí que não abrangida pela vedação (Ac.-TSE, de 7.11.2006, no REspe nº 25.748);</w:t>
      </w:r>
    </w:p>
    <w:p>
      <w:pPr>
        <w:pStyle w:val="Standard"/>
        <w:widowControl/>
        <w:suppressAutoHyphens w:val="true"/>
        <w:bidi w:val="0"/>
        <w:spacing w:lineRule="auto" w:line="360" w:before="240" w:after="24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o mesmo art. 73, no inciso VII, c/c o art. 1º, § 3º, inciso VII, da EC n. 107/2020, fixa limite máximo de gastos que a administração pode fazer com publicidade institucional;</w:t>
      </w:r>
    </w:p>
    <w:p>
      <w:pPr>
        <w:pStyle w:val="Standard"/>
        <w:widowControl/>
        <w:shd w:val="clear" w:color="auto" w:fill="FFFFFF"/>
        <w:suppressAutoHyphens w:val="true"/>
        <w:overflowPunct w:val="false"/>
        <w:bidi w:val="0"/>
        <w:spacing w:lineRule="auto" w:line="360" w:before="0" w:after="150"/>
        <w:ind w:left="2268" w:right="-283" w:hanging="0"/>
        <w:jc w:val="both"/>
        <w:textAlignment w:val="baseline"/>
        <w:rPr>
          <w:rFonts w:ascii="Cambria" w:hAnsi="Cambria"/>
          <w:sz w:val="22"/>
          <w:szCs w:val="22"/>
        </w:rPr>
      </w:pPr>
      <w:r>
        <w:rPr>
          <w:rFonts w:ascii="Cambria" w:hAnsi="Cambria"/>
          <w:color w:val="00000A"/>
          <w:sz w:val="22"/>
          <w:szCs w:val="22"/>
        </w:rPr>
        <w:t xml:space="preserve">VII - em relação à conduta vedada prevista no inciso VII do </w:t>
      </w:r>
      <w:r>
        <w:rPr>
          <w:rFonts w:ascii="Cambria" w:hAnsi="Cambria"/>
          <w:b/>
          <w:bCs/>
          <w:color w:val="00000A"/>
          <w:sz w:val="22"/>
          <w:szCs w:val="22"/>
        </w:rPr>
        <w:t xml:space="preserve">caput </w:t>
      </w:r>
      <w:r>
        <w:rPr>
          <w:rFonts w:ascii="Cambria" w:hAnsi="Cambria"/>
          <w:color w:val="00000A"/>
          <w:sz w:val="22"/>
          <w:szCs w:val="22"/>
        </w:rPr>
        <w:t xml:space="preserve">do art. 73 da Lei nº 9.504, de 30 de setembro de 1997, os gastos liquidados com publicidade institucional realizada </w:t>
      </w:r>
      <w:r>
        <w:rPr>
          <w:rFonts w:ascii="Cambria" w:hAnsi="Cambria"/>
          <w:b/>
          <w:color w:val="00000A"/>
          <w:sz w:val="22"/>
          <w:szCs w:val="22"/>
          <w:u w:val="thick"/>
        </w:rPr>
        <w:t>até 15 de agosto de 2024</w:t>
      </w:r>
      <w:r>
        <w:rPr>
          <w:rFonts w:ascii="Cambria" w:hAnsi="Cambria"/>
          <w:color w:val="00000A"/>
          <w:sz w:val="22"/>
          <w:szCs w:val="22"/>
        </w:rPr>
        <w:t xml:space="preserve"> não poderão exceder a </w:t>
      </w:r>
      <w:r>
        <w:rPr>
          <w:rFonts w:ascii="Cambria" w:hAnsi="Cambria"/>
          <w:b/>
          <w:color w:val="00000A"/>
          <w:sz w:val="22"/>
          <w:szCs w:val="22"/>
          <w:u w:val="thick"/>
        </w:rPr>
        <w:t>média dos gastos dos 2 (dois) primeiros quadrimestres dos 3 (três) últimos anos</w:t>
      </w:r>
      <w:r>
        <w:rPr>
          <w:rFonts w:ascii="Cambria" w:hAnsi="Cambria"/>
          <w:color w:val="00000A"/>
          <w:sz w:val="22"/>
          <w:szCs w:val="22"/>
        </w:rPr>
        <w:t xml:space="preserve"> que antecedem ao pleito, salvo em caso de </w:t>
      </w:r>
      <w:r>
        <w:rPr>
          <w:rFonts w:ascii="Cambria" w:hAnsi="Cambria"/>
          <w:b/>
          <w:color w:val="00000A"/>
          <w:sz w:val="22"/>
          <w:szCs w:val="22"/>
          <w:u w:val="thick"/>
        </w:rPr>
        <w:t>grave e urgente necessidade pública</w:t>
      </w:r>
      <w:r>
        <w:rPr>
          <w:rFonts w:ascii="Cambria" w:hAnsi="Cambria"/>
          <w:color w:val="00000A"/>
          <w:sz w:val="22"/>
          <w:szCs w:val="22"/>
        </w:rPr>
        <w:t>, assim reconhecida pela Justiça Eleitoral;</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o art. 74, também da Lei n. 9.504/97, descreve como abuso de poder político a veiculação de publicidade dos atos, programas, obras, serviços e campanhas dos órgãos públicos que vá além da informação, educação e orientação social e contenha nomes, símbolos ou imagens que caracterizem promoção pessoal (art. 37, § 1º, da CF), conduta que se apresenta grave e perturbadora da normalidade e legitimidade das eleições;</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publicidade institucional é toda e qualquer divulgação de atos, programas, serviços e campanhas dos órgãos públicos, produzida, confeccionada, mantida e/ou veiculada com recursos – financeiros ou humanos – públicos nos mais diversos meios de comunicação: rádio, TV, jornais, revistas, informativos, panfletos, placas, faixas, cartazes, sites, blogs, redes sociais, dentre outros;</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repita-se, que o site, o perfil, a página e a conta mantidos pela administração na Internet, em redes sociais e em aplicativos de mensagens instantâneas, como meio de divulgação dos atos, programas, serviços e campanhas dos órgãos públicos, são veículos de publicidade institucional, que também devem observar os limites do art. 37, § 1º, da CF, e do art. 73, Incisos VI, “b” e VII;</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em 2024, essas vedações aplicam-se aos poderes Executivo e Legislativo municipais e a todos os órgãos da administração, inclusive às entidades da administração indireta;</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a publicidade institucional desvirtuada, que contemple a promoção pessoal, caracteriza também improbidade administrativa (art. 73, § 7º, da Lei n. 9.504/97), por ofensa, principalmente, ao princípio da impessoalidade;</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color w:val="00000A"/>
          <w:szCs w:val="24"/>
        </w:rPr>
        <w:t xml:space="preserve"> que a lei prevê cassação do registro ou diploma do candidato beneficiado pela publicidade institucional desvirtuada (art. 73, § 5º, e art. 74, ambos da Lei n. 9.504/97), além de inelegibilidade dos agentes das condutas vedadas ou abusivas (art. 1º, I, “d” e “j”, da LC n. 64/90), o que impõe transtornos ao processo eleitoral e frustrações ao eleitorado, pois da cassação advém a necessidade de novas eleições;</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rPr>
        <w:t>CONSIDERANDO</w:t>
      </w:r>
      <w:r>
        <w:rPr>
          <w:rFonts w:ascii="Cambria" w:hAnsi="Cambria"/>
          <w:bCs/>
          <w:color w:val="00000A"/>
        </w:rPr>
        <w:t xml:space="preserve"> que o Ministério Público, na defesa do regime democrático e da lisura do pleito, </w:t>
      </w:r>
      <w:r>
        <w:rPr>
          <w:rFonts w:ascii="Cambria" w:hAnsi="Cambria"/>
          <w:b/>
          <w:bCs/>
          <w:color w:val="00000A"/>
          <w:u w:val="thick"/>
        </w:rPr>
        <w:t>prefere atuar preventivamente</w:t>
      </w:r>
      <w:r>
        <w:rPr>
          <w:rFonts w:ascii="Cambria" w:hAnsi="Cambria"/>
          <w:bCs/>
          <w:color w:val="00000A"/>
        </w:rPr>
        <w:t>, contribuindo para que se evitem os atos viciosos das eleições – como os aqui indicados – e se produzam resultados eleitorais legítimos;</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rPr>
        <w:t>CONSIDERANDO</w:t>
      </w:r>
      <w:r>
        <w:rPr>
          <w:rFonts w:ascii="Cambria" w:hAnsi="Cambria"/>
          <w:bCs/>
          <w:color w:val="00000A"/>
          <w:szCs w:val="24"/>
        </w:rPr>
        <w:t xml:space="preserve"> que a recomendação do Ministério Público é </w:t>
      </w:r>
      <w:r>
        <w:rPr>
          <w:rFonts w:ascii="Cambria" w:hAnsi="Cambria"/>
          <w:b/>
          <w:bCs/>
          <w:color w:val="00000A"/>
          <w:szCs w:val="24"/>
          <w:u w:val="thick"/>
        </w:rPr>
        <w:t>instrumento de orientação</w:t>
      </w:r>
      <w:r>
        <w:rPr>
          <w:rFonts w:ascii="Cambria" w:hAnsi="Cambria"/>
          <w:bCs/>
          <w:color w:val="00000A"/>
          <w:szCs w:val="24"/>
        </w:rPr>
        <w:t xml:space="preserve"> que visa antecipar-se ao cometimento do ilícito e evitar a imposição de sanções, muitas vezes graves e com repercussões importantes na candidatura,</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bCs/>
          <w:color w:val="00000A"/>
          <w:szCs w:val="24"/>
          <w:u w:val="thick"/>
        </w:rPr>
        <w:t>R</w:t>
      </w:r>
      <w:r>
        <w:rPr>
          <w:rFonts w:ascii="Cambria" w:hAnsi="Cambria"/>
          <w:b/>
          <w:bCs/>
          <w:color w:val="00000A"/>
          <w:szCs w:val="24"/>
          <w:u w:val="thick"/>
        </w:rPr>
        <w:t>ECOMENDA</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color w:val="00000A"/>
          <w:szCs w:val="24"/>
        </w:rPr>
        <w:t>ao Sr. Prefeito, ao Sr. Presidente da Câmara, aos Srs. Secretários Municipais e dirigentes de autarquias, fundações públicas, empresas públicas e sociedades de economia mista alcançados pelas mencionadas disposições:</w:t>
      </w:r>
    </w:p>
    <w:p>
      <w:pPr>
        <w:pStyle w:val="Standard"/>
        <w:widowControl/>
        <w:numPr>
          <w:ilvl w:val="0"/>
          <w:numId w:val="5"/>
        </w:numPr>
        <w:suppressAutoHyphens w:val="true"/>
        <w:bidi w:val="0"/>
        <w:spacing w:lineRule="auto" w:line="360" w:before="240" w:after="0"/>
        <w:ind w:left="2041" w:right="-283" w:hanging="340"/>
        <w:jc w:val="both"/>
        <w:textAlignment w:val="baseline"/>
        <w:rPr>
          <w:rFonts w:ascii="Cambria" w:hAnsi="Cambria"/>
          <w:szCs w:val="24"/>
        </w:rPr>
      </w:pPr>
      <w:r>
        <w:rPr>
          <w:rFonts w:ascii="Cambria" w:hAnsi="Cambria"/>
          <w:color w:val="00000A"/>
          <w:szCs w:val="24"/>
        </w:rPr>
        <w:t>Que não permitam, a qualquer tempo (art. 74, da Lei das Eleições, c/c art. 37, § 1º, da CF), a veiculação de publicidade institucional que, pelo conteúdo da informação ou pela inserção de nomes, símbolos ou imagens, possa promover pessoas ao eleitorado;</w:t>
      </w:r>
    </w:p>
    <w:p>
      <w:pPr>
        <w:pStyle w:val="Standard"/>
        <w:widowControl/>
        <w:numPr>
          <w:ilvl w:val="0"/>
          <w:numId w:val="6"/>
        </w:numPr>
        <w:suppressAutoHyphens w:val="true"/>
        <w:bidi w:val="0"/>
        <w:spacing w:lineRule="auto" w:line="360" w:before="240" w:after="0"/>
        <w:ind w:left="2041" w:right="-283" w:hanging="340"/>
        <w:jc w:val="both"/>
        <w:textAlignment w:val="baseline"/>
        <w:rPr>
          <w:rFonts w:ascii="Cambria" w:hAnsi="Cambria"/>
          <w:szCs w:val="24"/>
        </w:rPr>
      </w:pPr>
      <w:r>
        <w:rPr>
          <w:rFonts w:ascii="Cambria" w:hAnsi="Cambria"/>
          <w:color w:val="00000A"/>
          <w:szCs w:val="24"/>
        </w:rPr>
        <w:t>Que, a partir de 3 meses antes das eleições (art. 73, VI, “b”, da Lei das Eleições, c/c a EC n. 105/2020), não autorize e nem permita a veiculação de qualquer publicidade institucional, qualquer que seja o seu conteúdo,;</w:t>
      </w:r>
    </w:p>
    <w:p>
      <w:pPr>
        <w:pStyle w:val="Standard"/>
        <w:widowControl/>
        <w:numPr>
          <w:ilvl w:val="0"/>
          <w:numId w:val="7"/>
        </w:numPr>
        <w:suppressAutoHyphens w:val="true"/>
        <w:bidi w:val="0"/>
        <w:spacing w:lineRule="auto" w:line="360" w:before="240" w:after="0"/>
        <w:ind w:left="2041" w:right="-283" w:hanging="340"/>
        <w:jc w:val="both"/>
        <w:textAlignment w:val="baseline"/>
        <w:rPr>
          <w:rFonts w:ascii="Cambria" w:hAnsi="Cambria"/>
          <w:szCs w:val="24"/>
        </w:rPr>
      </w:pPr>
      <w:r>
        <w:rPr>
          <w:rFonts w:ascii="Cambria" w:hAnsi="Cambria"/>
          <w:color w:val="00000A"/>
          <w:szCs w:val="24"/>
        </w:rPr>
        <w:t xml:space="preserve">Que, até a data que antecede os referidos três meses,, cuide da retirada da publicidade institucional veiculada por meio de placas, faixas, cartazes, outdoors, sites na Internet, perfis, páginas ou contas em redes sociais e aplicações de mensagens instantâneas, dentre outros, </w:t>
      </w:r>
      <w:r>
        <w:rPr>
          <w:rFonts w:ascii="Cambria" w:hAnsi="Cambria"/>
          <w:color w:val="00000A"/>
          <w:szCs w:val="24"/>
          <w:u w:val="thick"/>
        </w:rPr>
        <w:t>admitida a permanência</w:t>
      </w:r>
      <w:r>
        <w:rPr>
          <w:rFonts w:ascii="Cambria" w:hAnsi="Cambria"/>
          <w:color w:val="00000A"/>
          <w:szCs w:val="24"/>
        </w:rPr>
        <w:t xml:space="preserve"> (i) de “placas de obras públicas, desde que não contenham expressões que possam identificar autoridades, servidores ou administrações cujos dirigentes estejam em campanha eleitoral” (Ac. TSE de 14.4.2009, no RESPE n. 26.448) e que se limitem a identificar o bem ou serviço público;</w:t>
      </w:r>
    </w:p>
    <w:p>
      <w:pPr>
        <w:pStyle w:val="Standard"/>
        <w:widowControl/>
        <w:suppressAutoHyphens w:val="true"/>
        <w:bidi w:val="0"/>
        <w:spacing w:lineRule="auto" w:line="360" w:before="240" w:after="0"/>
        <w:ind w:left="0" w:right="-283" w:firstLine="1701"/>
        <w:jc w:val="both"/>
        <w:textAlignment w:val="baseline"/>
        <w:rPr>
          <w:rFonts w:ascii="Cambria" w:hAnsi="Cambria"/>
          <w:szCs w:val="24"/>
        </w:rPr>
      </w:pPr>
      <w:r>
        <w:rPr>
          <w:rFonts w:ascii="Cambria" w:hAnsi="Cambria"/>
          <w:b/>
          <w:color w:val="00000A"/>
          <w:szCs w:val="24"/>
          <w:u w:val="single"/>
        </w:rPr>
        <w:t>Lembra</w:t>
      </w:r>
      <w:r>
        <w:rPr>
          <w:rFonts w:ascii="Cambria" w:hAnsi="Cambria"/>
          <w:color w:val="00000A"/>
          <w:szCs w:val="24"/>
        </w:rPr>
        <w:t>, por oportuno, que a inobservância das vedações do art. 73, da Lei n. 9.504/97, sujeita o infrator, servidor público ou não, além da cassação do registro ou do diploma, à pena pecuniária de 5.000 a 100.000 UFIR (de R$ 5.300,00 a R$ 106.000,00 aproximadamente). E que o desvirtuamento da publicidade institucional (art. 37, § 1º, da CF), caracterizado o abuso de poder, impõe a inelegibilidade de 8 anos ao agente e também a cassação dos eleitos (art. 74, da Lei n. 9.504/97).</w:t>
      </w:r>
    </w:p>
    <w:p>
      <w:pPr>
        <w:pStyle w:val="Standard"/>
        <w:spacing w:lineRule="auto" w:line="360" w:before="240" w:after="0"/>
        <w:ind w:left="567" w:right="-284" w:hanging="0"/>
        <w:jc w:val="right"/>
        <w:rPr>
          <w:rFonts w:ascii="Cambria" w:hAnsi="Cambria"/>
          <w:szCs w:val="24"/>
        </w:rPr>
      </w:pPr>
      <w:r>
        <w:rPr>
          <w:rFonts w:ascii="Cambria" w:hAnsi="Cambria"/>
          <w:color w:val="00000A"/>
          <w:szCs w:val="24"/>
        </w:rPr>
        <w:t>Local e data.</w:t>
      </w:r>
    </w:p>
    <w:p>
      <w:pPr>
        <w:pStyle w:val="Standard"/>
        <w:spacing w:lineRule="auto" w:line="360" w:before="240" w:after="0"/>
        <w:ind w:left="567" w:right="-284" w:hanging="0"/>
        <w:jc w:val="right"/>
        <w:rPr>
          <w:rFonts w:ascii="Cambria" w:hAnsi="Cambria"/>
          <w:color w:val="00000A"/>
          <w:szCs w:val="24"/>
        </w:rPr>
      </w:pPr>
      <w:r>
        <w:rPr>
          <w:rFonts w:ascii="Cambria" w:hAnsi="Cambria"/>
          <w:color w:val="00000A"/>
          <w:szCs w:val="24"/>
        </w:rPr>
      </w:r>
    </w:p>
    <w:p>
      <w:pPr>
        <w:pStyle w:val="Standard"/>
        <w:spacing w:lineRule="auto" w:line="360" w:before="120" w:after="120"/>
        <w:ind w:left="708" w:hanging="0"/>
        <w:jc w:val="center"/>
        <w:rPr>
          <w:rFonts w:ascii="Cambria" w:hAnsi="Cambria"/>
          <w:szCs w:val="24"/>
        </w:rPr>
      </w:pPr>
      <w:r>
        <w:rPr>
          <w:rFonts w:cs="Arial" w:ascii="Cambria" w:hAnsi="Cambria"/>
          <w:b/>
          <w:bCs/>
          <w:color w:val="00000A"/>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Book Antiqu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927" w:hanging="360"/>
      </w:pPr>
      <w:rPr>
        <w:szCs w:val="24"/>
        <w:rFonts w:ascii="Book Antiqua" w:hAnsi="Book Antiqua"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lvl w:ilvl="0">
      <w:start w:val="1"/>
      <w:numFmt w:val="decimal"/>
      <w:lvlText w:val="%1)"/>
      <w:lvlJc w:val="left"/>
      <w:pPr>
        <w:tabs>
          <w:tab w:val="num" w:pos="0"/>
        </w:tabs>
        <w:ind w:left="927" w:hanging="360"/>
      </w:pPr>
      <w:rPr>
        <w:szCs w:val="24"/>
        <w:rFonts w:ascii="Book Antiqua" w:hAnsi="Book Antiqua"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lvl w:ilvl="0">
      <w:start w:val="1"/>
      <w:numFmt w:val="decimal"/>
      <w:lvlText w:val="%1)"/>
      <w:lvlJc w:val="left"/>
      <w:pPr>
        <w:tabs>
          <w:tab w:val="num" w:pos="0"/>
        </w:tabs>
        <w:ind w:left="927" w:hanging="360"/>
      </w:pPr>
      <w:rPr>
        <w:szCs w:val="24"/>
        <w:rFonts w:ascii="Book Antiqua" w:hAnsi="Book Antiqua"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2"/>
  </w:num>
  <w:num w:numId="7">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tandard">
    <w:name w:val="Standard"/>
    <w:qFormat/>
    <w:pPr>
      <w:widowControl/>
      <w:suppressAutoHyphens w:val="true"/>
      <w:bidi w:val="0"/>
      <w:spacing w:before="0" w:after="0"/>
      <w:jc w:val="left"/>
      <w:textAlignment w:val="baseline"/>
    </w:pPr>
    <w:rPr>
      <w:rFonts w:ascii="Arial" w:hAnsi="Arial" w:eastAsia="Times New Roman" w:cs="Arial"/>
      <w:color w:val="auto"/>
      <w:kern w:val="2"/>
      <w:sz w:val="24"/>
      <w:szCs w:val="20"/>
      <w:lang w:val="pt-BR"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988</Words>
  <Characters>5446</Characters>
  <CharactersWithSpaces>6413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2023-06-10T14:17:48Z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