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  <w:color w:val="C9211E"/>
          <w:sz w:val="24"/>
          <w:szCs w:val="24"/>
        </w:rPr>
        <w:t>MPCE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BodyText2"/>
        <w:rPr>
          <w:rFonts w:ascii="Cambria" w:hAnsi="Cambria" w:cs="Times New Roman"/>
          <w:sz w:val="24"/>
          <w:szCs w:val="24"/>
        </w:rPr>
      </w:pPr>
      <w:r>
        <w:rPr>
          <w:rFonts w:cs="Times New Roman" w:ascii="Cambria" w:hAnsi="Cambria"/>
          <w:sz w:val="24"/>
          <w:szCs w:val="24"/>
        </w:rPr>
        <w:t>AÇÃO DE INVESTIGAÇÃO JUDICIAL ELEITORAL (AIJE) POR ABUSO DE PODER POLÍTICO E CAPTAÇÃO ILÍCITA DE SUFRÁGIO</w:t>
      </w:r>
    </w:p>
    <w:p>
      <w:pPr>
        <w:pStyle w:val="BodyText2"/>
        <w:rPr>
          <w:rFonts w:ascii="Cambria" w:hAnsi="Cambria" w:cs="Times New Roman"/>
          <w:sz w:val="24"/>
          <w:szCs w:val="24"/>
        </w:rPr>
      </w:pPr>
      <w:r>
        <w:rPr>
          <w:rFonts w:cs="Times New Roman" w:ascii="Cambria" w:hAnsi="Cambria"/>
          <w:sz w:val="24"/>
          <w:szCs w:val="24"/>
        </w:rPr>
      </w:r>
    </w:p>
    <w:p>
      <w:pPr>
        <w:pStyle w:val="BodyText2"/>
        <w:rPr>
          <w:rFonts w:ascii="Cambria" w:hAnsi="Cambria" w:cs="Times New Roman"/>
          <w:sz w:val="24"/>
          <w:szCs w:val="24"/>
        </w:rPr>
      </w:pPr>
      <w:r>
        <w:rPr>
          <w:rFonts w:cs="Times New Roman" w:ascii="Cambria" w:hAnsi="Cambria"/>
          <w:sz w:val="24"/>
          <w:szCs w:val="24"/>
        </w:rPr>
      </w:r>
    </w:p>
    <w:p>
      <w:pPr>
        <w:pStyle w:val="BodyText2"/>
        <w:rPr>
          <w:rFonts w:ascii="Cambria" w:hAnsi="Cambria" w:cs="Times New Roman"/>
          <w:sz w:val="24"/>
          <w:szCs w:val="24"/>
          <w:u w:val="none"/>
        </w:rPr>
      </w:pPr>
      <w:r>
        <w:rPr>
          <w:rFonts w:cs="Times New Roman" w:ascii="Cambria" w:hAnsi="Cambria"/>
          <w:sz w:val="24"/>
          <w:szCs w:val="24"/>
          <w:u w:val="none"/>
        </w:rPr>
        <w:t>Promovente: _______________</w:t>
      </w:r>
    </w:p>
    <w:p>
      <w:pPr>
        <w:pStyle w:val="BodyText2"/>
        <w:rPr>
          <w:rFonts w:ascii="Cambria" w:hAnsi="Cambria" w:cs="Times New Roman"/>
          <w:sz w:val="24"/>
          <w:szCs w:val="24"/>
          <w:u w:val="none"/>
        </w:rPr>
      </w:pPr>
      <w:r>
        <w:rPr>
          <w:rFonts w:cs="Times New Roman" w:ascii="Cambria" w:hAnsi="Cambria"/>
          <w:sz w:val="24"/>
          <w:szCs w:val="24"/>
          <w:u w:val="none"/>
        </w:rPr>
      </w:r>
    </w:p>
    <w:p>
      <w:pPr>
        <w:pStyle w:val="BodyText2"/>
        <w:rPr>
          <w:rFonts w:ascii="Cambria" w:hAnsi="Cambria" w:cs="Times New Roman"/>
          <w:sz w:val="24"/>
          <w:szCs w:val="24"/>
          <w:u w:val="none"/>
        </w:rPr>
      </w:pPr>
      <w:r>
        <w:rPr>
          <w:rFonts w:cs="Times New Roman" w:ascii="Cambria" w:hAnsi="Cambria"/>
          <w:sz w:val="24"/>
          <w:szCs w:val="24"/>
          <w:u w:val="none"/>
        </w:rPr>
        <w:t>Promovidos: _______________</w:t>
      </w:r>
    </w:p>
    <w:p>
      <w:pPr>
        <w:pStyle w:val="BodyText2"/>
        <w:rPr>
          <w:rFonts w:ascii="Cambria" w:hAnsi="Cambria" w:cs="Times New Roman"/>
          <w:sz w:val="24"/>
          <w:szCs w:val="24"/>
          <w:u w:val="none"/>
        </w:rPr>
      </w:pPr>
      <w:r>
        <w:rPr>
          <w:rFonts w:cs="Times New Roman" w:ascii="Cambria" w:hAnsi="Cambria"/>
          <w:sz w:val="24"/>
          <w:szCs w:val="24"/>
          <w:u w:val="none"/>
        </w:rPr>
      </w:r>
    </w:p>
    <w:p>
      <w:pPr>
        <w:pStyle w:val="BodyText2"/>
        <w:rPr>
          <w:rFonts w:ascii="Cambria" w:hAnsi="Cambria" w:cs="Times New Roman"/>
          <w:sz w:val="24"/>
          <w:szCs w:val="24"/>
          <w:u w:val="none"/>
        </w:rPr>
      </w:pPr>
      <w:r>
        <w:rPr>
          <w:rFonts w:cs="Times New Roman" w:ascii="Cambria" w:hAnsi="Cambria"/>
          <w:sz w:val="24"/>
          <w:szCs w:val="24"/>
          <w:u w:val="none"/>
        </w:rPr>
      </w:r>
    </w:p>
    <w:p>
      <w:pPr>
        <w:pStyle w:val="BodyText2"/>
        <w:rPr>
          <w:rFonts w:ascii="Cambria" w:hAnsi="Cambria" w:cs="Times New Roman"/>
          <w:sz w:val="24"/>
          <w:szCs w:val="24"/>
          <w:u w:val="none"/>
        </w:rPr>
      </w:pPr>
      <w:r>
        <w:rPr>
          <w:rFonts w:cs="Times New Roman" w:ascii="Cambria" w:hAnsi="Cambria"/>
          <w:sz w:val="24"/>
          <w:szCs w:val="24"/>
          <w:u w:val="none"/>
        </w:rPr>
      </w:r>
    </w:p>
    <w:p>
      <w:pPr>
        <w:pStyle w:val="BodyText2"/>
        <w:rPr>
          <w:rFonts w:ascii="Cambria" w:hAnsi="Cambria" w:cs="Times New Roman"/>
          <w:sz w:val="24"/>
          <w:szCs w:val="24"/>
          <w:u w:val="none"/>
        </w:rPr>
      </w:pPr>
      <w:r>
        <w:rPr>
          <w:rFonts w:cs="Times New Roman" w:ascii="Cambria" w:hAnsi="Cambria"/>
          <w:sz w:val="24"/>
          <w:szCs w:val="24"/>
          <w:u w:val="none"/>
        </w:rPr>
      </w:r>
    </w:p>
    <w:p>
      <w:pPr>
        <w:pStyle w:val="BodyText2"/>
        <w:rPr>
          <w:rFonts w:ascii="Cambria" w:hAnsi="Cambria" w:cs="Times New Roman"/>
          <w:sz w:val="24"/>
          <w:szCs w:val="24"/>
        </w:rPr>
      </w:pPr>
      <w:r>
        <w:rPr>
          <w:rFonts w:cs="Times New Roman" w:ascii="Cambria" w:hAnsi="Cambria"/>
          <w:sz w:val="24"/>
          <w:szCs w:val="24"/>
        </w:rPr>
      </w:r>
    </w:p>
    <w:p>
      <w:pPr>
        <w:pStyle w:val="BodyText2"/>
        <w:jc w:val="center"/>
        <w:rPr>
          <w:rFonts w:ascii="Cambria" w:hAnsi="Cambria" w:cs="Times New Roman"/>
          <w:sz w:val="24"/>
          <w:szCs w:val="24"/>
        </w:rPr>
      </w:pPr>
      <w:r>
        <w:rPr>
          <w:rFonts w:cs="Times New Roman" w:ascii="Cambria" w:hAnsi="Cambria"/>
          <w:sz w:val="24"/>
          <w:szCs w:val="24"/>
        </w:rPr>
        <w:t>ALEGAÇÕES FINAIS</w:t>
      </w:r>
    </w:p>
    <w:p>
      <w:pPr>
        <w:pStyle w:val="BodyText2"/>
        <w:jc w:val="center"/>
        <w:rPr>
          <w:rFonts w:ascii="Cambria" w:hAnsi="Cambria" w:cs="Times New Roman"/>
          <w:sz w:val="24"/>
          <w:szCs w:val="24"/>
        </w:rPr>
      </w:pPr>
      <w:r>
        <w:rPr>
          <w:rFonts w:cs="Times New Roman" w:ascii="Cambria" w:hAnsi="Cambria"/>
          <w:sz w:val="24"/>
          <w:szCs w:val="24"/>
        </w:rPr>
      </w:r>
    </w:p>
    <w:p>
      <w:pPr>
        <w:pStyle w:val="BodyText2"/>
        <w:jc w:val="center"/>
        <w:rPr>
          <w:rFonts w:ascii="Cambria" w:hAnsi="Cambria" w:cs="Times New Roman"/>
          <w:sz w:val="24"/>
          <w:szCs w:val="24"/>
        </w:rPr>
      </w:pPr>
      <w:r>
        <w:rPr>
          <w:rFonts w:cs="Times New Roman" w:ascii="Cambria" w:hAnsi="Cambria"/>
          <w:sz w:val="24"/>
          <w:szCs w:val="24"/>
        </w:rPr>
      </w:r>
    </w:p>
    <w:p>
      <w:pPr>
        <w:pStyle w:val="BodyText2"/>
        <w:jc w:val="center"/>
        <w:rPr>
          <w:rFonts w:ascii="Cambria" w:hAnsi="Cambria" w:cs="Times New Roman"/>
          <w:sz w:val="24"/>
          <w:szCs w:val="24"/>
        </w:rPr>
      </w:pPr>
      <w:r>
        <w:rPr>
          <w:rFonts w:cs="Times New Roman" w:ascii="Cambria" w:hAnsi="Cambria"/>
          <w:sz w:val="24"/>
          <w:szCs w:val="24"/>
        </w:rPr>
      </w:r>
    </w:p>
    <w:p>
      <w:pPr>
        <w:pStyle w:val="BodyText2"/>
        <w:jc w:val="center"/>
        <w:rPr>
          <w:rFonts w:ascii="Cambria" w:hAnsi="Cambria" w:cs="Times New Roman"/>
          <w:sz w:val="24"/>
          <w:szCs w:val="24"/>
        </w:rPr>
      </w:pPr>
      <w:r>
        <w:rPr>
          <w:rFonts w:cs="Times New Roman" w:ascii="Cambria" w:hAnsi="Cambria"/>
          <w:sz w:val="24"/>
          <w:szCs w:val="24"/>
        </w:rPr>
      </w:r>
    </w:p>
    <w:p>
      <w:pPr>
        <w:pStyle w:val="BodyText2"/>
        <w:jc w:val="center"/>
        <w:rPr>
          <w:rFonts w:ascii="Cambria" w:hAnsi="Cambria" w:cs="Times New Roman"/>
          <w:sz w:val="24"/>
          <w:szCs w:val="24"/>
        </w:rPr>
      </w:pPr>
      <w:r>
        <w:rPr>
          <w:rFonts w:cs="Times New Roman"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Times New Roman" w:ascii="Cambria" w:hAnsi="Cambria"/>
          <w:b/>
          <w:sz w:val="24"/>
          <w:szCs w:val="24"/>
        </w:rPr>
        <w:t xml:space="preserve">O Ministério Público Eleitoral da __ª Zona Eleitoral do Estado do Tocantins,  </w:t>
      </w:r>
      <w:r>
        <w:rPr>
          <w:rFonts w:cs="Times New Roman" w:ascii="Cambria" w:hAnsi="Cambria"/>
          <w:sz w:val="24"/>
          <w:szCs w:val="24"/>
        </w:rPr>
        <w:t xml:space="preserve">presentado, neste ato, pelo Promotor Eleitoral que ora subscreve, com fulcro no art. 129, II e IX, c/c o art. 14, § 9º, ambos da CF/1988; no art. 72, c/c o art. 78, ambos da Lei Complementar Federal nº 75/93; no art. 22, </w:t>
      </w:r>
      <w:r>
        <w:rPr>
          <w:rFonts w:cs="Times New Roman" w:ascii="Cambria" w:hAnsi="Cambria"/>
          <w:i/>
          <w:sz w:val="24"/>
          <w:szCs w:val="24"/>
        </w:rPr>
        <w:t xml:space="preserve">caput </w:t>
      </w:r>
      <w:r>
        <w:rPr>
          <w:rFonts w:cs="Times New Roman" w:ascii="Cambria" w:hAnsi="Cambria"/>
          <w:sz w:val="24"/>
          <w:szCs w:val="24"/>
        </w:rPr>
        <w:t xml:space="preserve">e incisos X e XIV, c/c o art. 24, ambos da LC nº 64/90, e c/ o art. 73, I, e §§ 4º e 8º, da Lei 9.504/97, </w:t>
      </w:r>
      <w:r>
        <w:rPr>
          <w:rFonts w:cs="Times New Roman" w:ascii="Cambria" w:hAnsi="Cambria"/>
          <w:b/>
          <w:sz w:val="24"/>
          <w:szCs w:val="24"/>
        </w:rPr>
        <w:t xml:space="preserve">vem respeitosamente apresentar as presentes ALEGAÇÕES FINAIS, </w:t>
      </w:r>
      <w:r>
        <w:rPr>
          <w:rFonts w:cs="Times New Roman" w:ascii="Cambria" w:hAnsi="Cambria"/>
          <w:sz w:val="24"/>
          <w:szCs w:val="24"/>
        </w:rPr>
        <w:t>nos termos que se seguem.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eastAsia="SimSun" w:cs="Times New Roman" w:ascii="Cambria" w:hAnsi="Cambria"/>
          <w:b w:val="false"/>
          <w:color w:val="auto"/>
          <w:kern w:val="2"/>
          <w:sz w:val="24"/>
          <w:szCs w:val="24"/>
          <w:lang w:val="pt-BR" w:eastAsia="zh-CN" w:bidi="hi-IN"/>
        </w:rPr>
        <w:t xml:space="preserve">Ajuizou o (Partido) a presente ação de investigação judicial eleitoral c/c captação ilícita de sufrágio em face dos representados (fls. ____) visando cassar seus registros de candidatura e/ou diploma, a declaração de inelegibilidade, além da aplicação de multas em razão da captação ilícita de sufrágio e da divulgação de pesquisa sem registro, a teor dos pedidos formulados às fls. __. 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eastAsia="SimSun" w:cs="Times New Roman" w:ascii="Cambria" w:hAnsi="Cambria"/>
          <w:color w:val="auto"/>
          <w:kern w:val="2"/>
          <w:sz w:val="24"/>
          <w:szCs w:val="24"/>
          <w:lang w:val="pt-BR" w:eastAsia="zh-CN" w:bidi="hi-IN"/>
        </w:rPr>
        <w:t>Devidamente notificados (fls. ____), os representados apresentaram defesa (fls.___).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eastAsia="SimSun" w:cs="Times New Roman" w:ascii="Cambria" w:hAnsi="Cambria"/>
          <w:color w:val="auto"/>
          <w:kern w:val="2"/>
          <w:sz w:val="24"/>
          <w:szCs w:val="24"/>
          <w:lang w:val="pt-BR" w:eastAsia="zh-CN" w:bidi="hi-IN"/>
        </w:rPr>
        <w:t>A Coligação “_________” e o candidato _____________, pleitearam o ingresso nos autos na qualidade de assistente (fls.____), sendo tal pleito impugnado pelos representados (fls. _____), porém, deferido pela MM. Juíza de Direito às fls. ___.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eastAsia="SimSun" w:cs="Times New Roman" w:ascii="Cambria" w:hAnsi="Cambria"/>
          <w:color w:val="auto"/>
          <w:kern w:val="2"/>
          <w:sz w:val="24"/>
          <w:szCs w:val="24"/>
          <w:lang w:val="pt-BR" w:eastAsia="zh-CN" w:bidi="hi-IN"/>
        </w:rPr>
        <w:t>Realizada audiência de instrução, ouviram-se o representado ______________ em depoimento pessoal (fls. ___), os informantes ______________ e _________________ (fls. ____) e as testemunhas ________________ (fls._____</w:t>
      </w:r>
      <w:r>
        <w:rPr>
          <w:rFonts w:eastAsia="SimSun" w:cs="Times New Roman" w:ascii="Cambria" w:hAnsi="Cambria"/>
          <w:color w:val="auto"/>
          <w:spacing w:val="-1"/>
          <w:kern w:val="2"/>
          <w:sz w:val="24"/>
          <w:szCs w:val="24"/>
          <w:lang w:val="pt-BR" w:eastAsia="zh-CN" w:bidi="hi-IN"/>
        </w:rPr>
        <w:t>).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eastAsia="SimSun" w:cs="Times New Roman" w:ascii="Cambria" w:hAnsi="Cambria"/>
          <w:color w:val="auto"/>
          <w:kern w:val="2"/>
          <w:sz w:val="24"/>
          <w:szCs w:val="24"/>
          <w:lang w:val="pt-BR" w:eastAsia="zh-CN" w:bidi="hi-IN"/>
        </w:rPr>
        <w:t>Vieram os autos, nesta oportunidade, para alegações finais do Ministério Público Eleitoral.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eastAsia="SimSun" w:cs="Times New Roman"/>
          <w:color w:val="auto"/>
          <w:kern w:val="2"/>
          <w:lang w:val="pt-BR" w:eastAsia="zh-CN" w:bidi="hi-IN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eastAsia="SimSun" w:cs="Times New Roman" w:ascii="Cambria" w:hAnsi="Cambria"/>
          <w:color w:val="auto"/>
          <w:kern w:val="2"/>
          <w:sz w:val="24"/>
          <w:szCs w:val="24"/>
          <w:lang w:val="pt-BR" w:eastAsia="zh-CN" w:bidi="hi-IN"/>
        </w:rPr>
        <w:t>É o breve relato do feito.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eastAsia="SimSun" w:cs="Times New Roman"/>
          <w:color w:val="auto"/>
          <w:kern w:val="2"/>
          <w:lang w:val="pt-BR" w:eastAsia="zh-CN" w:bidi="hi-IN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Times New Roman" w:ascii="Cambria" w:hAnsi="Cambria"/>
          <w:sz w:val="24"/>
          <w:szCs w:val="24"/>
        </w:rPr>
        <w:t>Com o intuito</w:t>
      </w:r>
      <w:r>
        <w:rPr>
          <w:rFonts w:cs="Times New Roman" w:ascii="Cambria" w:hAnsi="Cambria"/>
          <w:sz w:val="24"/>
          <w:szCs w:val="24"/>
        </w:rPr>
        <w:t xml:space="preserve"> de não tornar repetitivos os argumentos sustentados pelo Ministério Público Eleitoral, tornando maçante a análise dos autos, requer façam parte integrante das presentes alegações, a inicial e documentos de fls. ____.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Times New Roman" w:ascii="Cambria" w:hAnsi="Cambria"/>
          <w:sz w:val="24"/>
          <w:szCs w:val="24"/>
        </w:rPr>
        <w:t xml:space="preserve">A prova carreada aos autos, durante toda a instrução, não conduz à certeza de que houve </w:t>
      </w:r>
      <w:r>
        <w:rPr>
          <w:rFonts w:cs="Times New Roman" w:ascii="Cambria" w:hAnsi="Cambria"/>
          <w:b/>
          <w:sz w:val="24"/>
          <w:szCs w:val="24"/>
        </w:rPr>
        <w:t xml:space="preserve">abuso do poder político, abuso do poder econômico, utilização indevida dos meios de comunicação e captação ilícita de sufrágio </w:t>
      </w:r>
      <w:r>
        <w:rPr>
          <w:rFonts w:cs="Times New Roman" w:ascii="Cambria" w:hAnsi="Cambria"/>
          <w:sz w:val="24"/>
          <w:szCs w:val="24"/>
        </w:rPr>
        <w:t>praticada pelos representados, merecendo a presente demanda sua improcedência.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Times New Roman" w:ascii="Cambria" w:hAnsi="Cambria"/>
          <w:sz w:val="24"/>
          <w:szCs w:val="24"/>
        </w:rPr>
        <w:t>Em que pese o esforço jurídico dos nobres causídicos contratados pelos representados para suas alegativas, os argumentos utilizados resumem-se a uma tentativa frustrada de tornar cristalino o que resta enevoado, ante o frágil conjunto probatório que se analisa dos autos.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Times New Roman" w:ascii="Cambria" w:hAnsi="Cambria"/>
          <w:sz w:val="24"/>
          <w:szCs w:val="24"/>
        </w:rPr>
        <w:t>No que toca à primeira causa de pedir, referente à utilização indevida de veículos ou meios de comunicação social e da utilização de propagandas institucionais de atos, programas, serviços e obras para promoção pessoal do candidato, vemos que …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Times New Roman" w:ascii="Cambria" w:hAnsi="Cambria"/>
          <w:spacing w:val="-2"/>
          <w:sz w:val="24"/>
          <w:szCs w:val="24"/>
        </w:rPr>
        <w:t>(DESCREVER)</w:t>
      </w:r>
      <w:r>
        <w:rPr>
          <w:rFonts w:cs="Times New Roman" w:ascii="Cambria" w:hAnsi="Cambria"/>
          <w:i/>
          <w:spacing w:val="-7"/>
          <w:sz w:val="24"/>
          <w:szCs w:val="24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Times New Roman" w:ascii="Cambria" w:hAnsi="Cambria"/>
          <w:sz w:val="24"/>
          <w:szCs w:val="24"/>
        </w:rPr>
        <w:t>Outro fato que também não se confirmou nos autos foi a utilização da participação de artistas em sua campanha nem a distribuição de alimentos à população de…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Times New Roman" w:ascii="Cambria" w:hAnsi="Cambria"/>
          <w:sz w:val="24"/>
          <w:szCs w:val="24"/>
        </w:rPr>
        <w:t>(DESCREVER)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Times New Roman" w:ascii="Cambria" w:hAnsi="Cambria"/>
          <w:sz w:val="24"/>
          <w:szCs w:val="24"/>
        </w:rPr>
        <w:t xml:space="preserve">No tocante ao </w:t>
      </w:r>
      <w:r>
        <w:rPr>
          <w:rFonts w:cs="Times New Roman" w:ascii="Cambria" w:hAnsi="Cambria"/>
          <w:b/>
          <w:sz w:val="24"/>
          <w:szCs w:val="24"/>
        </w:rPr>
        <w:t xml:space="preserve">abuso do poder político, </w:t>
      </w:r>
      <w:r>
        <w:rPr>
          <w:rFonts w:cs="Times New Roman" w:ascii="Cambria" w:hAnsi="Cambria"/>
          <w:sz w:val="24"/>
          <w:szCs w:val="24"/>
        </w:rPr>
        <w:t xml:space="preserve">a documentação carreada aos autos não foi suficiente para demonstrar que o investigado ____________ se utilizou da máquina pública administrativa municipal a seu favor, bem como se valeu do poder econômico empregado na campanha para distribuir bens matérias e vantagem aos eleitores, violando o livre exercício do direito de </w:t>
      </w:r>
      <w:r>
        <w:rPr>
          <w:rFonts w:cs="Times New Roman" w:ascii="Cambria" w:hAnsi="Cambria"/>
          <w:spacing w:val="-18"/>
          <w:sz w:val="24"/>
          <w:szCs w:val="24"/>
        </w:rPr>
        <w:t>sufrágio…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Times New Roman" w:ascii="Cambria" w:hAnsi="Cambria"/>
          <w:spacing w:val="-18"/>
          <w:sz w:val="24"/>
          <w:szCs w:val="24"/>
        </w:rPr>
        <w:t>(DESCREVER)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eastAsia="Arial" w:cs="Times New Roman" w:ascii="Cambria" w:hAnsi="Cambria"/>
          <w:sz w:val="24"/>
          <w:szCs w:val="24"/>
          <w:lang w:val="pt-PT" w:eastAsia="pt-PT" w:bidi="pt-PT"/>
        </w:rPr>
        <w:t>Em complementação ao que se descreveu até o momento, colacionamos algumas decisões do TSE acerca da questão probatória:</w:t>
      </w:r>
    </w:p>
    <w:p>
      <w:pPr>
        <w:pStyle w:val="Corpodotexto"/>
        <w:rPr>
          <w:rFonts w:ascii="Cambria" w:hAnsi="Cambria" w:cs="Times New Roman"/>
          <w:sz w:val="24"/>
          <w:szCs w:val="24"/>
        </w:rPr>
      </w:pPr>
      <w:r>
        <w:rPr>
          <w:rFonts w:cs="Times New Roman"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2268" w:right="57" w:hanging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cs="Cambria" w:ascii="Cambria" w:hAnsi="Cambria"/>
          <w:b w:val="false"/>
          <w:bCs w:val="false"/>
          <w:sz w:val="22"/>
          <w:szCs w:val="22"/>
        </w:rPr>
        <w:t xml:space="preserve">ELEIÇÕES 2016. AGRAVO REGIMENTAL. AGRAVO. RECURSO ESPECIAL INADMITIDO. AÇÃO DE INVESTIGAÇÃO JUDICIAL ELEITORAL. ABUSO DOS PODERES ECONÔMICO E POLÍTICO E </w:t>
      </w:r>
      <w:r>
        <w:rPr>
          <w:rFonts w:cs="Cambria" w:ascii="Cambria" w:hAnsi="Cambria"/>
          <w:b/>
          <w:bCs/>
          <w:sz w:val="22"/>
          <w:szCs w:val="22"/>
        </w:rPr>
        <w:t>CAPTAÇÃO ILÍCITA DE SUFRÁGIO. IMPROCEDÊNCIA. AUSÊNCIA DE PROVAS DOS FATOS ALEGADOS</w:t>
      </w:r>
      <w:r>
        <w:rPr>
          <w:rFonts w:cs="Cambria" w:ascii="Cambria" w:hAnsi="Cambria"/>
          <w:b w:val="false"/>
          <w:bCs w:val="false"/>
          <w:sz w:val="22"/>
          <w:szCs w:val="22"/>
        </w:rPr>
        <w:t>. ALTERAÇÃO DA CONCLUSÃO DO ACÓRDÃO REGIONAL. NECESSIDADE DE REEXAME DO CONJUNTO FÁTICO–PROBATÓRIO. IMPOSSIBILIDADE. SÚMULA Nº 24/TSE. DISSÍDIO JURISPRUDENCIAL NÃO DEMONSTRADO. SÚMULA Nº 28/TSE. INCIDÊNCIA. DECISÃO AGRAVADA. FUNDAMENTO INATACADO. REITERAÇÃO DE TESES. SÚMULA Nº 26/TSE. DESPROVIMENTO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2268" w:right="57" w:hanging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cs="Cambria" w:ascii="Cambria" w:hAnsi="Cambria"/>
          <w:b w:val="false"/>
          <w:bCs w:val="false"/>
          <w:sz w:val="22"/>
          <w:szCs w:val="22"/>
        </w:rPr>
        <w:t xml:space="preserve">1. A decisão monocrática mediante a qual negado seguimento ao agravo foi proferida com base nos seguintes fundamentos: (i) não ocorrência de usurpação de competência deste Tribunal Superior pela Corte de origem por ocasião da análise dos requisitos de admissibilidade do apelo nobre; (ii) consoante entendimento desta Corte, a pactuação de acordos políticos representa legítima estratégia do jogo democrático (REspe nº 458–67/PI, Rel. Min. Luiz Fux, DJe de 15.2.2018); (iii) incidência da Súmula nº 24/TSE, uma vez que, para alterar a conclusão do TRE/CE acerca da ausência de provas aptas a ensejar a procedência da ação, seria necessário o reexame do conjunto fático–probatório dos autos, providência vedada nesta instância recursal extraordinária; (iv) </w:t>
      </w:r>
      <w:r>
        <w:rPr>
          <w:rFonts w:cs="Cambria" w:ascii="Cambria" w:hAnsi="Cambria"/>
          <w:b/>
          <w:bCs/>
          <w:sz w:val="22"/>
          <w:szCs w:val="22"/>
        </w:rPr>
        <w:t xml:space="preserve">na linha da jurisprudência deste Tribunal, a condenação pela prática de captação ilícita de sufrágio ou de abuso do poder econômico requer provas robustas e incontestes; </w:t>
      </w:r>
      <w:r>
        <w:rPr>
          <w:rFonts w:cs="Cambria" w:ascii="Cambria" w:hAnsi="Cambria"/>
          <w:b w:val="false"/>
          <w:bCs w:val="false"/>
          <w:sz w:val="22"/>
          <w:szCs w:val="22"/>
        </w:rPr>
        <w:t>e (v) incidência da Súmula nº 28/TSE em razão da ausência de cotejo analítico e da não comprovação de similitude fática, aptos a demonstrar a divergência jurisprudencial suscitada.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2268" w:right="57" w:hanging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cs="Cambria" w:ascii="Cambria" w:hAnsi="Cambria"/>
          <w:b w:val="false"/>
          <w:bCs w:val="false"/>
          <w:sz w:val="22"/>
          <w:szCs w:val="22"/>
        </w:rPr>
        <w:t>2. A simples reprodução, no agravo interno, de argumentos constantes no recurso especial, sem impugnar todos os fundamentos da decisão agravada suficientes para a sua manutenção, atrai o óbice da Súmula nº 26/TSE.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2268" w:right="57" w:hanging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cs="Cambria" w:ascii="Cambria" w:hAnsi="Cambria"/>
          <w:b w:val="false"/>
          <w:bCs w:val="false"/>
          <w:sz w:val="22"/>
          <w:szCs w:val="22"/>
        </w:rPr>
        <w:t>3. Agravo regimental a que se nega provimento.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2268" w:right="57" w:hanging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cs="Cambria" w:ascii="Cambria" w:hAnsi="Cambria"/>
          <w:b w:val="false"/>
          <w:bCs w:val="false"/>
          <w:sz w:val="22"/>
          <w:szCs w:val="22"/>
        </w:rPr>
        <w:t>(Agravo de Instrumento nº 29290, Acórdão, Relator(a) Min. Tarcisio Vieira De Carvalho Neto, Publicação:  DJE - Diário da justiça eletrônica, Tomo 55, Data 26/03/2021)</w:t>
      </w:r>
    </w:p>
    <w:p>
      <w:pPr>
        <w:pStyle w:val="Corpodotexto"/>
        <w:rPr>
          <w:rFonts w:ascii="Cambria" w:hAnsi="Cambria" w:cs="Cambria"/>
          <w:b w:val="false"/>
          <w:b w:val="false"/>
          <w:bCs w:val="false"/>
          <w:sz w:val="22"/>
          <w:szCs w:val="22"/>
        </w:rPr>
      </w:pPr>
      <w:r>
        <w:rPr>
          <w:rFonts w:cs="Cambria" w:ascii="Cambria" w:hAnsi="Cambria"/>
          <w:b w:val="false"/>
          <w:bCs w:val="false"/>
          <w:sz w:val="22"/>
          <w:szCs w:val="22"/>
        </w:rPr>
      </w:r>
    </w:p>
    <w:p>
      <w:pPr>
        <w:pStyle w:val="Corpodotexto"/>
        <w:rPr>
          <w:rFonts w:ascii="Cambria" w:hAnsi="Cambria" w:cs="Cambria"/>
          <w:b w:val="false"/>
          <w:b w:val="false"/>
          <w:bCs w:val="false"/>
          <w:sz w:val="22"/>
          <w:szCs w:val="22"/>
        </w:rPr>
      </w:pPr>
      <w:r>
        <w:rPr>
          <w:rFonts w:cs="Cambria" w:ascii="Cambria" w:hAnsi="Cambria"/>
          <w:b w:val="false"/>
          <w:bCs w:val="false"/>
          <w:sz w:val="22"/>
          <w:szCs w:val="22"/>
        </w:rPr>
      </w:r>
    </w:p>
    <w:p>
      <w:pPr>
        <w:pStyle w:val="Normal"/>
        <w:widowControl w:val="false"/>
        <w:suppressAutoHyphens w:val="true"/>
        <w:bidi w:val="0"/>
        <w:spacing w:lineRule="auto" w:line="360"/>
        <w:ind w:left="2324" w:right="0" w:hanging="0"/>
        <w:jc w:val="both"/>
        <w:textAlignment w:val="baseline"/>
        <w:rPr>
          <w:rFonts w:ascii="Cambria" w:hAnsi="Cambria" w:eastAsia="SimSun" w:cs="Cambria"/>
          <w:b w:val="false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</w:pPr>
      <w:r>
        <w:rPr>
          <w:rFonts w:eastAsia="SimSun" w:cs="Cambria" w:ascii="Cambria" w:hAnsi="Cambria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ELEIÇÕES 2016. AGRAVO REGIMENTAL. AGRAVO EM RECURSO ESPECIAL. AÇÃO DE INVESTIGAÇÃO JUDICIAL ELEITORAL. ABUSO DO PODER ECONÔMICO. AUSÊNCIA DE PROVA ROBUSTA. REEXAME FÁTICO–PROBATÓRIO. VERBETE SUMULAR 24 DO TSE. IMPROCEDÊNCIA.</w:t>
      </w:r>
    </w:p>
    <w:p>
      <w:pPr>
        <w:pStyle w:val="Normal"/>
        <w:widowControl w:val="false"/>
        <w:suppressAutoHyphens w:val="true"/>
        <w:bidi w:val="0"/>
        <w:spacing w:lineRule="auto" w:line="360"/>
        <w:ind w:left="2324" w:right="0" w:hanging="0"/>
        <w:jc w:val="both"/>
        <w:textAlignment w:val="baseline"/>
        <w:rPr>
          <w:rFonts w:ascii="Cambria" w:hAnsi="Cambria" w:eastAsia="SimSun" w:cs="Cambria"/>
          <w:b w:val="false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</w:pPr>
      <w:r>
        <w:rPr>
          <w:rFonts w:eastAsia="SimSun" w:cs="Cambria" w:ascii="Cambria" w:hAnsi="Cambria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SÍNTESE DO CASO</w:t>
      </w:r>
    </w:p>
    <w:p>
      <w:pPr>
        <w:pStyle w:val="Normal"/>
        <w:widowControl w:val="false"/>
        <w:suppressAutoHyphens w:val="true"/>
        <w:bidi w:val="0"/>
        <w:spacing w:lineRule="auto" w:line="360"/>
        <w:ind w:left="2324" w:right="0" w:hanging="0"/>
        <w:jc w:val="both"/>
        <w:textAlignment w:val="baseline"/>
        <w:rPr>
          <w:rFonts w:ascii="Cambria" w:hAnsi="Cambria" w:eastAsia="SimSun" w:cs="Cambria"/>
          <w:b w:val="false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</w:pPr>
      <w:r>
        <w:rPr>
          <w:rFonts w:eastAsia="SimSun" w:cs="Cambria" w:ascii="Cambria" w:hAnsi="Cambria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1. O Tribunal Regional Eleitoral do Maranhão negou provimento a recurso e manteve a sentença de improcedência de ação de investigação judicial eleitoral para apurar suposto abuso do poder econômico, ajuizada em desfavor dos agravados, candidatos eleitos aos cargos de prefeito e vice–prefeito do Município de Alto Alegre do Pindaré/MA nas Eleições de 2016.</w:t>
      </w:r>
    </w:p>
    <w:p>
      <w:pPr>
        <w:pStyle w:val="Normal"/>
        <w:widowControl w:val="false"/>
        <w:suppressAutoHyphens w:val="true"/>
        <w:bidi w:val="0"/>
        <w:spacing w:lineRule="auto" w:line="360"/>
        <w:ind w:left="2324" w:right="0" w:hanging="0"/>
        <w:jc w:val="both"/>
        <w:textAlignment w:val="baseline"/>
        <w:rPr>
          <w:rFonts w:ascii="Cambria" w:hAnsi="Cambria" w:eastAsia="SimSun" w:cs="Cambria"/>
          <w:b w:val="false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</w:pPr>
      <w:r>
        <w:rPr>
          <w:rFonts w:eastAsia="SimSun" w:cs="Cambria" w:ascii="Cambria" w:hAnsi="Cambria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2. Interposto recurso especial, o Presidente do Tribunal de origem negou–lhe seguimento, tendo sido interposto agravo a esta Corte.</w:t>
      </w:r>
    </w:p>
    <w:p>
      <w:pPr>
        <w:pStyle w:val="Normal"/>
        <w:widowControl w:val="false"/>
        <w:suppressAutoHyphens w:val="true"/>
        <w:bidi w:val="0"/>
        <w:spacing w:lineRule="auto" w:line="360"/>
        <w:ind w:left="2324" w:right="0" w:hanging="0"/>
        <w:jc w:val="both"/>
        <w:textAlignment w:val="baseline"/>
        <w:rPr>
          <w:rFonts w:ascii="Cambria" w:hAnsi="Cambria" w:eastAsia="SimSun" w:cs="Cambria"/>
          <w:b w:val="false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</w:pPr>
      <w:r>
        <w:rPr>
          <w:rFonts w:eastAsia="SimSun" w:cs="Cambria" w:ascii="Cambria" w:hAnsi="Cambria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3. Negou–se seguimento ao agravo, por meio de decisão monocrática contra a qual foi interposto agravo regimental.</w:t>
      </w:r>
    </w:p>
    <w:p>
      <w:pPr>
        <w:pStyle w:val="Normal"/>
        <w:widowControl w:val="false"/>
        <w:suppressAutoHyphens w:val="true"/>
        <w:bidi w:val="0"/>
        <w:spacing w:lineRule="auto" w:line="360"/>
        <w:ind w:left="2324" w:right="0" w:hanging="0"/>
        <w:jc w:val="both"/>
        <w:textAlignment w:val="baseline"/>
        <w:rPr>
          <w:rFonts w:ascii="Cambria" w:hAnsi="Cambria" w:eastAsia="SimSun" w:cs="Cambria"/>
          <w:b w:val="false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</w:pPr>
      <w:r>
        <w:rPr>
          <w:rFonts w:eastAsia="SimSun" w:cs="Cambria" w:ascii="Cambria" w:hAnsi="Cambria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ANÁLISE DO AGRAVO REGIMENTAL</w:t>
      </w:r>
    </w:p>
    <w:p>
      <w:pPr>
        <w:pStyle w:val="Normal"/>
        <w:widowControl w:val="false"/>
        <w:suppressAutoHyphens w:val="true"/>
        <w:bidi w:val="0"/>
        <w:spacing w:lineRule="auto" w:line="360"/>
        <w:ind w:left="2324" w:right="0" w:hanging="0"/>
        <w:jc w:val="both"/>
        <w:textAlignment w:val="baseline"/>
        <w:rPr>
          <w:rFonts w:ascii="Cambria" w:hAnsi="Cambria" w:eastAsia="SimSun" w:cs="Cambria"/>
          <w:b w:val="false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</w:pPr>
      <w:r>
        <w:rPr>
          <w:rFonts w:eastAsia="SimSun" w:cs="Cambria" w:ascii="Cambria" w:hAnsi="Cambria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4. As razões do agravo regimental reproduzem os mesmos argumentos suscitados no recurso especial e no agravo, deixando de infirmar os fundamentos adotados na decisão agravada, que ensejaram a negativa de seguimento do apelo, inclusive quanto à incidência do verbete sumular 26/TSE, o que, por si só, é suficiente para a manutenção do julgado, nos termos do mencionado verbete.</w:t>
      </w:r>
    </w:p>
    <w:p>
      <w:pPr>
        <w:pStyle w:val="Normal"/>
        <w:widowControl w:val="false"/>
        <w:suppressAutoHyphens w:val="true"/>
        <w:bidi w:val="0"/>
        <w:spacing w:lineRule="auto" w:line="360"/>
        <w:ind w:left="2324" w:right="0" w:hanging="0"/>
        <w:jc w:val="both"/>
        <w:textAlignment w:val="baseline"/>
        <w:rPr>
          <w:rFonts w:ascii="Cambria" w:hAnsi="Cambria" w:eastAsia="SimSun" w:cs="Cambria"/>
          <w:b w:val="false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</w:pPr>
      <w:r>
        <w:rPr>
          <w:rFonts w:eastAsia="SimSun" w:cs="Cambria" w:ascii="Cambria" w:hAnsi="Cambria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5. Com relação à alegada violação aos arts. 275 do Código Eleitoral e 1.022 do Código de Processo Civil, sob o fundamento de que houve omissões no acórdão regional, as quais não foram sanadas por meio dos embargos de declaração, os agravantes deixaram de indicar quais seriam esses pontos omissos, o que inviabilizou a análise deste Tribunal sobre a alegada violação aos dispositivos invocados.</w:t>
      </w:r>
    </w:p>
    <w:p>
      <w:pPr>
        <w:pStyle w:val="Normal"/>
        <w:widowControl w:val="false"/>
        <w:suppressAutoHyphens w:val="true"/>
        <w:bidi w:val="0"/>
        <w:spacing w:lineRule="auto" w:line="360"/>
        <w:ind w:left="2324" w:right="0" w:hanging="0"/>
        <w:jc w:val="both"/>
        <w:textAlignment w:val="baseline"/>
        <w:rPr>
          <w:rFonts w:ascii="Cambria" w:hAnsi="Cambria" w:eastAsia="SimSun" w:cs="Cambria"/>
          <w:b w:val="false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</w:pPr>
      <w:r>
        <w:rPr>
          <w:rFonts w:eastAsia="SimSun" w:cs="Cambria" w:ascii="Cambria" w:hAnsi="Cambria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6. Esta Corte já decidiu que, "ao apontar ofensa ao art. 275 do Código Eleitoral, assim como ocorre em relação ao art. 535 do Código de Processo Civil, cabe à parte identificar precisamente qual vício não teria sido sanado e a sua relevância para o deslinde da causa, não sendo suficientes alegações genéricas" (REspe 2–53, rel. Min. Henrique Neves da Silva, DJE de 26.10.2016).</w:t>
      </w:r>
    </w:p>
    <w:p>
      <w:pPr>
        <w:pStyle w:val="Normal"/>
        <w:widowControl w:val="false"/>
        <w:suppressAutoHyphens w:val="true"/>
        <w:bidi w:val="0"/>
        <w:spacing w:lineRule="auto" w:line="360"/>
        <w:ind w:left="2324" w:right="0" w:hanging="0"/>
        <w:jc w:val="both"/>
        <w:textAlignment w:val="baseline"/>
        <w:rPr>
          <w:rFonts w:ascii="Cambria" w:hAnsi="Cambria" w:eastAsia="SimSun" w:cs="Cambria"/>
          <w:b w:val="false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</w:pPr>
      <w:r>
        <w:rPr>
          <w:rFonts w:eastAsia="SimSun" w:cs="Cambria" w:ascii="Cambria" w:hAnsi="Cambria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7. No que tange à inobservância aos arts. 41–A da Lei 9.504/97, 22 da Lei Complementar 64/90 e 14, § 10, da Constituição Federal, o Tribunal de origem, soberano na análise dos fatos e das provas, concluiu que não há provas robustas aptas ao reconhecimento do abuso do poder econômico, entendimento cuja alteração nesta via recursal encontra óbice no verbete sumular 24/TSE.</w:t>
      </w:r>
    </w:p>
    <w:p>
      <w:pPr>
        <w:pStyle w:val="Normal"/>
        <w:widowControl w:val="false"/>
        <w:suppressAutoHyphens w:val="true"/>
        <w:bidi w:val="0"/>
        <w:spacing w:lineRule="auto" w:line="360"/>
        <w:ind w:left="2324" w:right="0" w:hanging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eastAsia="SimSun" w:cs="Cambria" w:ascii="Cambria" w:hAnsi="Cambria"/>
          <w:b/>
          <w:bCs/>
          <w:color w:val="auto"/>
          <w:kern w:val="2"/>
          <w:sz w:val="22"/>
          <w:szCs w:val="22"/>
          <w:lang w:val="pt-BR" w:eastAsia="zh-CN" w:bidi="hi-IN"/>
        </w:rPr>
        <w:t>8. A orientação do acórdão regional está em consonância com a jurisprudência desta Corte, segundo a qual "a condenação pela prática de captação ilícita de sufrágio ou de abuso do poder econômico requer provas robustas e incontestes, não podendo se fundar em meras presunções (AgR–REspe nº 751–51/TO, Rel. Min. Luciana Lóssio, DJe de 27.4.2017)</w:t>
      </w:r>
      <w:r>
        <w:rPr>
          <w:rFonts w:eastAsia="SimSun" w:cs="Cambria" w:ascii="Cambria" w:hAnsi="Cambria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" (AgR–REspe 668–63, rel. Min. Tarcisio Vieira de Carvalho Neto, DJE de 24.9.2019), a incidir o verbete sumular 30/TSE.</w:t>
      </w:r>
    </w:p>
    <w:p>
      <w:pPr>
        <w:pStyle w:val="Normal"/>
        <w:widowControl w:val="false"/>
        <w:suppressAutoHyphens w:val="true"/>
        <w:bidi w:val="0"/>
        <w:spacing w:lineRule="auto" w:line="360"/>
        <w:ind w:left="2324" w:right="0" w:hanging="0"/>
        <w:jc w:val="both"/>
        <w:textAlignment w:val="baseline"/>
        <w:rPr>
          <w:rFonts w:ascii="Cambria" w:hAnsi="Cambria" w:eastAsia="SimSun" w:cs="Cambria"/>
          <w:b w:val="false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</w:pPr>
      <w:r>
        <w:rPr>
          <w:rFonts w:eastAsia="SimSun" w:cs="Cambria" w:ascii="Cambria" w:hAnsi="Cambria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CONCLUSÃO</w:t>
      </w:r>
    </w:p>
    <w:p>
      <w:pPr>
        <w:pStyle w:val="Normal"/>
        <w:widowControl w:val="false"/>
        <w:suppressAutoHyphens w:val="true"/>
        <w:bidi w:val="0"/>
        <w:spacing w:lineRule="auto" w:line="360"/>
        <w:ind w:left="2324" w:right="0" w:hanging="0"/>
        <w:jc w:val="both"/>
        <w:textAlignment w:val="baseline"/>
        <w:rPr>
          <w:rFonts w:ascii="Cambria" w:hAnsi="Cambria" w:eastAsia="SimSun" w:cs="Cambria"/>
          <w:b w:val="false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</w:pPr>
      <w:r>
        <w:rPr>
          <w:rFonts w:eastAsia="SimSun" w:cs="Cambria" w:ascii="Cambria" w:hAnsi="Cambria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Agravo regimental a que se nega provimento.</w:t>
      </w:r>
    </w:p>
    <w:p>
      <w:pPr>
        <w:pStyle w:val="Normal"/>
        <w:widowControl w:val="false"/>
        <w:suppressAutoHyphens w:val="true"/>
        <w:bidi w:val="0"/>
        <w:spacing w:lineRule="auto" w:line="360"/>
        <w:ind w:left="2324" w:right="0" w:hanging="0"/>
        <w:jc w:val="both"/>
        <w:textAlignment w:val="baseline"/>
        <w:rPr>
          <w:rFonts w:ascii="Cambria" w:hAnsi="Cambria" w:eastAsia="SimSun" w:cs="Cambria"/>
          <w:b w:val="false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</w:pPr>
      <w:r>
        <w:rPr>
          <w:rFonts w:eastAsia="SimSun" w:cs="Cambria" w:ascii="Cambria" w:hAnsi="Cambria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(Agravo de Instrumento nº 72881, Acórdão, Relator(a) Min. Sergio Silveira Banhos, Publicação:  DJE - Diário da justiça eletrônica, Tomo 49, Data 18/03/2021)</w:t>
      </w:r>
    </w:p>
    <w:p>
      <w:pPr>
        <w:pStyle w:val="Corpodotexto"/>
        <w:widowControl w:val="false"/>
        <w:suppressAutoHyphens w:val="true"/>
        <w:overflowPunct w:val="false"/>
        <w:bidi w:val="0"/>
        <w:spacing w:lineRule="auto" w:line="360" w:before="204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Times New Roman" w:ascii="Cambria" w:hAnsi="Cambria"/>
          <w:sz w:val="24"/>
          <w:szCs w:val="24"/>
        </w:rPr>
        <w:t xml:space="preserve">A doutrina abalizada de Rodrigo López Zilio, em seu livro “Direito Eleitoral” (7.ª Edição, 2020, Editora JusPodivm, p. 692), </w:t>
      </w:r>
      <w:r>
        <w:rPr>
          <w:rFonts w:eastAsia="Arial" w:cs="Times New Roman" w:ascii="Cambria" w:hAnsi="Cambria"/>
          <w:sz w:val="24"/>
          <w:szCs w:val="24"/>
          <w:lang w:val="pt-PT" w:eastAsia="pt-PT" w:bidi="pt-PT"/>
        </w:rPr>
        <w:t>faz o seguinte apontamento:</w:t>
      </w:r>
    </w:p>
    <w:p>
      <w:pPr>
        <w:pStyle w:val="Corpodotexto"/>
        <w:jc w:val="both"/>
        <w:rPr>
          <w:rFonts w:ascii="Cambria" w:hAnsi="Cambria" w:cs="Times New Roman"/>
          <w:sz w:val="24"/>
          <w:szCs w:val="24"/>
        </w:rPr>
      </w:pPr>
      <w:r>
        <w:rPr>
          <w:rFonts w:cs="Times New Roman"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1" w:after="0"/>
        <w:ind w:left="2268" w:right="0" w:hanging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cs="Cambria" w:ascii="Cambria" w:hAnsi="Cambria"/>
          <w:i/>
          <w:sz w:val="22"/>
          <w:szCs w:val="22"/>
        </w:rPr>
        <w:t>“</w:t>
      </w:r>
      <w:r>
        <w:rPr>
          <w:rFonts w:cs="Cambria" w:ascii="Cambria" w:hAnsi="Cambria"/>
          <w:i/>
          <w:sz w:val="22"/>
          <w:szCs w:val="22"/>
        </w:rPr>
        <w:t xml:space="preserve">Se terceiro comprar votos para beneficiar determinado candidato, este somente será responsabilizado </w:t>
      </w:r>
      <w:r>
        <w:rPr>
          <w:rFonts w:cs="Cambria" w:ascii="Cambria" w:hAnsi="Cambria"/>
          <w:b/>
          <w:bCs/>
          <w:i/>
          <w:sz w:val="22"/>
          <w:szCs w:val="22"/>
        </w:rPr>
        <w:t>quando houver prova suficiente da sua participação ou anuência no ilícito cometido.</w:t>
      </w:r>
      <w:r>
        <w:rPr>
          <w:rFonts w:cs="Cambria" w:ascii="Cambria" w:hAnsi="Cambria"/>
          <w:i/>
          <w:sz w:val="22"/>
          <w:szCs w:val="22"/>
        </w:rPr>
        <w:t xml:space="preserve">” </w:t>
      </w:r>
      <w:r>
        <w:rPr>
          <w:rFonts w:cs="Cambria" w:ascii="Cambria" w:hAnsi="Cambria"/>
          <w:sz w:val="22"/>
          <w:szCs w:val="22"/>
        </w:rPr>
        <w:t>(negrito nosso)</w:t>
      </w:r>
      <w:r>
        <w:rPr>
          <w:rFonts w:cs="Cambria" w:ascii="Cambria" w:hAnsi="Cambria"/>
          <w:i/>
          <w:sz w:val="22"/>
          <w:szCs w:val="22"/>
        </w:rPr>
        <w:t>.</w:t>
      </w:r>
    </w:p>
    <w:p>
      <w:pPr>
        <w:pStyle w:val="Corpodotexto"/>
        <w:rPr>
          <w:rFonts w:ascii="Cambria" w:hAnsi="Cambria" w:cs="Times New Roman"/>
          <w:i/>
          <w:i/>
          <w:sz w:val="24"/>
          <w:szCs w:val="24"/>
        </w:rPr>
      </w:pPr>
      <w:r>
        <w:rPr>
          <w:rFonts w:cs="Times New Roman" w:ascii="Cambria" w:hAnsi="Cambria"/>
          <w:i/>
          <w:sz w:val="24"/>
          <w:szCs w:val="24"/>
        </w:rPr>
      </w:r>
    </w:p>
    <w:p>
      <w:pPr>
        <w:pStyle w:val="Corpodotexto"/>
        <w:widowControl/>
        <w:suppressAutoHyphens w:val="true"/>
        <w:overflowPunct w:val="false"/>
        <w:bidi w:val="0"/>
        <w:spacing w:lineRule="auto" w:line="360" w:before="0" w:after="12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Times New Roman" w:ascii="Cambria" w:hAnsi="Cambria"/>
          <w:sz w:val="24"/>
          <w:szCs w:val="24"/>
        </w:rPr>
        <w:t xml:space="preserve">Por derradeiro, não ficou nítida </w:t>
      </w:r>
      <w:r>
        <w:rPr>
          <w:rFonts w:cs="Times New Roman" w:ascii="Cambria" w:hAnsi="Cambria"/>
          <w:b/>
          <w:sz w:val="24"/>
          <w:szCs w:val="24"/>
        </w:rPr>
        <w:t>a captação ilícita de sufrágio</w:t>
      </w:r>
      <w:r>
        <w:rPr>
          <w:rFonts w:cs="Times New Roman" w:ascii="Cambria" w:hAnsi="Cambria"/>
          <w:sz w:val="24"/>
          <w:szCs w:val="24"/>
        </w:rPr>
        <w:t xml:space="preserve">, em especial o pagamento de dívidas em prol dos eleitores locais (DETALHAR), não  caracterizando o tipo descrito como formas de captação ilícita de sufrágio, nos moldes do art. 41-A da Lei 9404/97, cujo texto legal se transcreve a seguir, </w:t>
      </w:r>
      <w:r>
        <w:rPr>
          <w:rFonts w:cs="Times New Roman" w:ascii="Cambria" w:hAnsi="Cambria"/>
          <w:i/>
          <w:sz w:val="24"/>
          <w:szCs w:val="24"/>
        </w:rPr>
        <w:t xml:space="preserve">in </w:t>
      </w:r>
      <w:r>
        <w:rPr>
          <w:rFonts w:cs="Times New Roman" w:ascii="Cambria" w:hAnsi="Cambria"/>
          <w:i/>
          <w:spacing w:val="-5"/>
          <w:sz w:val="24"/>
          <w:szCs w:val="24"/>
        </w:rPr>
        <w:t>literis</w:t>
      </w:r>
      <w:r>
        <w:rPr>
          <w:rFonts w:cs="Times New Roman" w:ascii="Cambria" w:hAnsi="Cambria"/>
          <w:sz w:val="24"/>
          <w:szCs w:val="24"/>
        </w:rPr>
        <w:t>:</w:t>
      </w:r>
    </w:p>
    <w:p>
      <w:pPr>
        <w:pStyle w:val="Corpodotexto"/>
        <w:spacing w:before="5" w:after="0"/>
        <w:rPr>
          <w:rFonts w:ascii="Cambria" w:hAnsi="Cambria" w:cs="Times New Roman"/>
          <w:b/>
          <w:b/>
          <w:bCs/>
          <w:sz w:val="24"/>
          <w:szCs w:val="24"/>
        </w:rPr>
      </w:pPr>
      <w:r>
        <w:rPr>
          <w:rFonts w:cs="Times New Roman" w:ascii="Cambria" w:hAnsi="Cambria"/>
          <w:b/>
          <w:bCs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360" w:before="0" w:after="0"/>
        <w:ind w:left="2211" w:right="0" w:hanging="0"/>
        <w:jc w:val="both"/>
        <w:textAlignment w:val="baseline"/>
        <w:rPr>
          <w:rFonts w:ascii="Cambria" w:hAnsi="Cambria" w:cs="Cambria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cs="Cambria" w:ascii="Cambria" w:hAnsi="Cambria"/>
          <w:b w:val="false"/>
          <w:bCs w:val="false"/>
          <w:i w:val="false"/>
          <w:iCs w:val="false"/>
          <w:sz w:val="22"/>
          <w:szCs w:val="22"/>
        </w:rPr>
        <w:t>Art. 41-A. Ressalvado o disposto no art. 26 e seus incisos, constitui captação de sufrágio, vedada por esta Lei, o candidato doar, oferecer, prometer, ou entregar, ao eleitor, com o fim de obter-lhe o voto, bem ou vantagem pessoal de qualquer natureza, inclusive emprego ou função pública, desde o registro da candidatura até o dia da eleição, inclusive, sob pena de multa de mil a cinquenta mil Ufir, e cassação do registro ou do diploma, observado o procedimento previsto no art. 22 da Lei Complementar nº 64, de 18 de maio de 1990.</w:t>
      </w:r>
    </w:p>
    <w:p>
      <w:pPr>
        <w:pStyle w:val="Normal"/>
        <w:spacing w:lineRule="auto" w:line="360" w:before="0" w:after="0"/>
        <w:ind w:left="811" w:right="245" w:firstLine="708"/>
        <w:jc w:val="both"/>
        <w:rPr>
          <w:rFonts w:ascii="Cambria" w:hAnsi="Cambria" w:cs="Times New Roman"/>
          <w:b/>
          <w:b/>
          <w:bCs/>
          <w:sz w:val="24"/>
          <w:szCs w:val="24"/>
        </w:rPr>
      </w:pPr>
      <w:r>
        <w:rPr>
          <w:rFonts w:cs="Times New Roman" w:ascii="Cambria" w:hAnsi="Cambria"/>
          <w:b/>
          <w:bCs/>
          <w:sz w:val="24"/>
          <w:szCs w:val="24"/>
        </w:rPr>
      </w:r>
    </w:p>
    <w:p>
      <w:pPr>
        <w:pStyle w:val="Corpodotexto"/>
        <w:widowControl/>
        <w:suppressAutoHyphens w:val="true"/>
        <w:overflowPunct w:val="false"/>
        <w:bidi w:val="0"/>
        <w:spacing w:lineRule="auto" w:line="360" w:before="157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Times New Roman" w:ascii="Cambria" w:hAnsi="Cambria"/>
          <w:sz w:val="24"/>
          <w:szCs w:val="24"/>
        </w:rPr>
        <w:t>Tal fato além de não comprovado documentalmente, também não foi confirmado na instrução do feito pelas palavras de testemunhas:</w:t>
      </w:r>
    </w:p>
    <w:p>
      <w:pPr>
        <w:pStyle w:val="Corpodotexto"/>
        <w:widowControl/>
        <w:suppressAutoHyphens w:val="true"/>
        <w:overflowPunct w:val="false"/>
        <w:bidi w:val="0"/>
        <w:spacing w:lineRule="auto" w:line="360" w:before="157" w:after="0"/>
        <w:ind w:left="0" w:right="0" w:firstLine="1701"/>
        <w:jc w:val="both"/>
        <w:rPr>
          <w:rFonts w:cs="Times New Roman"/>
          <w:spacing w:val="-2"/>
        </w:rPr>
      </w:pPr>
      <w:r>
        <w:rPr>
          <w:rFonts w:ascii="Cambria" w:hAnsi="Cambria"/>
          <w:sz w:val="24"/>
          <w:szCs w:val="24"/>
        </w:rPr>
      </w:r>
    </w:p>
    <w:p>
      <w:pPr>
        <w:pStyle w:val="Corpodotexto"/>
        <w:widowControl/>
        <w:suppressAutoHyphens w:val="true"/>
        <w:overflowPunct w:val="false"/>
        <w:bidi w:val="0"/>
        <w:spacing w:lineRule="auto" w:line="360" w:before="157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Times New Roman" w:ascii="Cambria" w:hAnsi="Cambria"/>
          <w:spacing w:val="-2"/>
          <w:sz w:val="24"/>
          <w:szCs w:val="24"/>
        </w:rPr>
        <w:t>“</w:t>
      </w:r>
      <w:r>
        <w:rPr>
          <w:rFonts w:cs="Times New Roman" w:ascii="Cambria" w:hAnsi="Cambria"/>
          <w:spacing w:val="-2"/>
          <w:sz w:val="24"/>
          <w:szCs w:val="24"/>
        </w:rPr>
        <w:t>TRANSCREVER…”</w:t>
      </w:r>
    </w:p>
    <w:p>
      <w:pPr>
        <w:pStyle w:val="Corpodotexto"/>
        <w:widowControl/>
        <w:suppressAutoHyphens w:val="true"/>
        <w:overflowPunct w:val="false"/>
        <w:bidi w:val="0"/>
        <w:spacing w:lineRule="auto" w:line="360" w:before="157" w:after="0"/>
        <w:ind w:left="0" w:right="0" w:firstLine="1701"/>
        <w:jc w:val="both"/>
        <w:rPr>
          <w:rFonts w:ascii="Cambria" w:hAnsi="Cambria" w:cs="Times New Roman"/>
          <w:b/>
          <w:b/>
          <w:bCs/>
          <w:color w:val="000000"/>
          <w:spacing w:val="-2"/>
        </w:rPr>
      </w:pPr>
      <w:r>
        <w:rPr>
          <w:rFonts w:ascii="Cambria" w:hAnsi="Cambria"/>
          <w:sz w:val="24"/>
          <w:szCs w:val="24"/>
        </w:rPr>
      </w:r>
    </w:p>
    <w:p>
      <w:pPr>
        <w:pStyle w:val="Corpodotexto"/>
        <w:widowControl/>
        <w:suppressAutoHyphens w:val="true"/>
        <w:overflowPunct w:val="false"/>
        <w:bidi w:val="0"/>
        <w:spacing w:lineRule="auto" w:line="360" w:before="157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Times New Roman" w:ascii="Cambria" w:hAnsi="Cambria"/>
          <w:b/>
          <w:bCs/>
          <w:color w:val="000000"/>
          <w:sz w:val="24"/>
          <w:szCs w:val="24"/>
        </w:rPr>
        <w:t>Ante o exposto, c</w:t>
      </w:r>
      <w:r>
        <w:rPr>
          <w:rFonts w:cs="Times New Roman" w:ascii="Cambria" w:hAnsi="Cambria"/>
          <w:b/>
          <w:bCs/>
          <w:color w:val="00000A"/>
          <w:sz w:val="24"/>
          <w:szCs w:val="24"/>
        </w:rPr>
        <w:t xml:space="preserve">onsiderando que a documentação contida nos autos não apresenta substrato suficiente capaz de comprovar as alegativas da inicial, porquanto desprovida de quaisquer elementos mínimos </w:t>
      </w:r>
      <w:r>
        <w:rPr>
          <w:rFonts w:eastAsia="Times New Roman" w:cs="Times New Roman" w:ascii="Cambria" w:hAnsi="Cambria"/>
          <w:b w:val="false"/>
          <w:bCs w:val="false"/>
          <w:i w:val="false"/>
          <w:iCs w:val="false"/>
          <w:color w:val="auto"/>
          <w:sz w:val="24"/>
          <w:szCs w:val="24"/>
          <w:lang w:val="pt-BR" w:eastAsia="zxx" w:bidi="ar-SA"/>
        </w:rPr>
        <w:t xml:space="preserve">robustos e inconcussos da prática dos ilícitos descritos, </w:t>
      </w:r>
      <w:r>
        <w:rPr>
          <w:rFonts w:cs="Times New Roman" w:ascii="Cambria" w:hAnsi="Cambria"/>
          <w:b/>
          <w:bCs/>
          <w:color w:val="00000A"/>
          <w:sz w:val="24"/>
          <w:szCs w:val="24"/>
        </w:rPr>
        <w:t>que possibilitem o aparato sancionatório da Justiça Eleitoral para o caso,</w:t>
      </w:r>
      <w:r>
        <w:rPr>
          <w:rFonts w:cs="Times New Roman" w:ascii="Cambria" w:hAnsi="Cambria"/>
          <w:b/>
          <w:bCs/>
          <w:color w:val="000000"/>
          <w:sz w:val="24"/>
          <w:szCs w:val="24"/>
        </w:rPr>
        <w:t xml:space="preserve"> razão pela qual o Ministério Público Eleitoral requer seja a presente ação julgada IMPROCEDENTE, </w:t>
      </w:r>
      <w:r>
        <w:rPr>
          <w:rFonts w:cs="Times New Roman" w:ascii="Cambria" w:hAnsi="Cambria"/>
          <w:b w:val="false"/>
          <w:bCs w:val="false"/>
          <w:color w:val="00000A"/>
          <w:sz w:val="24"/>
          <w:szCs w:val="24"/>
        </w:rPr>
        <w:t>não se vislumbrando possibilidade de aplicação das penas legais cominadas</w:t>
      </w:r>
      <w:r>
        <w:rPr>
          <w:rFonts w:cs="Times New Roman" w:ascii="Cambria" w:hAnsi="Cambria"/>
          <w:b w:val="false"/>
          <w:bCs w:val="false"/>
          <w:color w:val="000000"/>
          <w:spacing w:val="-37"/>
          <w:sz w:val="24"/>
          <w:szCs w:val="24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0"/>
    <w:family w:val="roman"/>
    <w:pitch w:val="variable"/>
  </w:font>
  <w:font w:name="Cambria">
    <w:charset w:val="01"/>
    <w:family w:val="roman"/>
    <w:pitch w:val="default"/>
  </w:font>
  <w:font w:name="Cambri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Standard">
    <w:name w:val="Standard"/>
    <w:qFormat/>
    <w:pPr>
      <w:widowControl w:val="false"/>
      <w:suppressAutoHyphens w:val="true"/>
      <w:bidi w:val="0"/>
      <w:spacing w:lineRule="atLeast" w:line="397" w:before="113" w:after="113"/>
      <w:jc w:val="both"/>
      <w:textAlignment w:val="baseline"/>
    </w:pPr>
    <w:rPr>
      <w:rFonts w:ascii="Cambria" w:hAnsi="Cambria" w:eastAsia="Times New Roman" w:cs="Times New Roman"/>
      <w:b/>
      <w:bCs/>
      <w:color w:val="000000"/>
      <w:kern w:val="2"/>
      <w:sz w:val="24"/>
      <w:szCs w:val="24"/>
      <w:shd w:fill="FFFFFF" w:val="clear"/>
      <w:lang w:val="pt-BR" w:eastAsia="zh-CN" w:bidi="ar-SA"/>
    </w:rPr>
  </w:style>
  <w:style w:type="paragraph" w:styleId="BodyText2">
    <w:name w:val="Body Text 2"/>
    <w:basedOn w:val="Normal"/>
    <w:qFormat/>
    <w:pPr>
      <w:spacing w:lineRule="atLeast" w:line="100" w:before="0" w:after="0"/>
      <w:ind w:left="0" w:right="-93" w:hanging="0"/>
      <w:jc w:val="both"/>
    </w:pPr>
    <w:rPr>
      <w:rFonts w:ascii="Times New Roman" w:hAnsi="Times New Roman" w:eastAsia="Times New Roman" w:cs="Times New Roman"/>
      <w:b/>
      <w:sz w:val="28"/>
      <w:szCs w:val="20"/>
      <w:u w:val="single"/>
      <w:lang w:eastAsia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LibreOffice/7.2.6.2$Windows_X86_64 LibreOffice_project/b0ec3a565991f7569a5a7f5d24fed7f52653d754</Application>
  <AppVersion>15.0000</AppVersion>
  <Pages>7</Pages>
  <Words>1614</Words>
  <Characters>8982</Characters>
  <CharactersWithSpaces>10536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2023-06-10T15:36:48Z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