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sz w:val="24"/>
          <w:szCs w:val="24"/>
        </w:rPr>
        <w:t xml:space="preserve">O </w:t>
      </w:r>
      <w:r>
        <w:rPr>
          <w:rFonts w:cs="Arial" w:ascii="Cambria" w:hAnsi="Cambria"/>
          <w:b/>
          <w:sz w:val="24"/>
          <w:szCs w:val="24"/>
        </w:rPr>
        <w:t>MINISTÉRIO PÚBLICO ELEITORAL</w:t>
      </w:r>
      <w:r>
        <w:rPr>
          <w:rFonts w:cs="Arial" w:ascii="Cambria" w:hAnsi="Cambria"/>
          <w:sz w:val="24"/>
          <w:szCs w:val="24"/>
        </w:rPr>
        <w:t xml:space="preserve">, por seu agente firmatário, vem, à presença de Vossa Excelência, nos termos do art. 3º da Lei Complementar nº 64/90, propor a presente </w:t>
      </w:r>
      <w:r>
        <w:rPr>
          <w:rFonts w:cs="Arial" w:ascii="Cambria" w:hAnsi="Cambria"/>
          <w:b/>
          <w:sz w:val="24"/>
          <w:szCs w:val="24"/>
        </w:rPr>
        <w:t xml:space="preserve">AÇÃO DE IMPUGNAÇÃO DE REGISTRO DE CANDIDATO </w:t>
      </w:r>
      <w:r>
        <w:rPr>
          <w:rFonts w:cs="Arial" w:ascii="Cambria" w:hAnsi="Cambria"/>
          <w:sz w:val="24"/>
          <w:szCs w:val="24"/>
        </w:rPr>
        <w:t>contra ......................, devidamente qualificado nos autos do pedido de registro, pelos fatos e fundamentos que passa a expor:</w:t>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sz w:val="24"/>
          <w:szCs w:val="24"/>
        </w:rPr>
        <w:t xml:space="preserve">O Partido XXXX encaminhou o pedido registro de candidatura do impugnado, protocolado sob o nº XXXX, ao cargo de (Prefeito Municipal/Vice-Prefeito Municipal/Vereador). </w:t>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sz w:val="24"/>
          <w:szCs w:val="24"/>
        </w:rPr>
        <w:t xml:space="preserve">Contudo, resta impossível o deferimento do registro de candidatura do impugnado, tendo em vista que ele se enquadra na hipótese prevista no art. 1º, I, </w:t>
      </w:r>
      <w:r>
        <w:rPr>
          <w:rFonts w:cs="Arial" w:ascii="Cambria" w:hAnsi="Cambria"/>
          <w:i/>
          <w:iCs/>
          <w:sz w:val="24"/>
          <w:szCs w:val="24"/>
        </w:rPr>
        <w:t>o</w:t>
      </w:r>
      <w:r>
        <w:rPr>
          <w:rFonts w:cs="Arial" w:ascii="Cambria" w:hAnsi="Cambria"/>
          <w:sz w:val="24"/>
          <w:szCs w:val="24"/>
        </w:rPr>
        <w:t xml:space="preserve">, da Lei Complementar n. 64/90, com redação dada pela Lei Complementar nº 135/2010, segundo o qual são inelegíveis </w:t>
      </w:r>
      <w:r>
        <w:rPr>
          <w:rFonts w:cs="Arial" w:ascii="Cambria" w:hAnsi="Cambria"/>
          <w:i/>
          <w:iCs/>
          <w:color w:val="000000"/>
          <w:sz w:val="24"/>
          <w:szCs w:val="24"/>
        </w:rPr>
        <w:t>“</w:t>
      </w:r>
      <w:r>
        <w:rPr>
          <w:rFonts w:cs="Arial" w:ascii="Cambria" w:hAnsi="Cambria"/>
          <w:i/>
          <w:sz w:val="24"/>
          <w:szCs w:val="24"/>
        </w:rPr>
        <w:t>os que forem demitidos do serviço público em decorrência de processo administrativo ou judicial, pelo prazo de 8 (oito) anos, contado da decisão, salvo se o ato houver sido suspenso ou anulado pelo Poder Judiciário”</w:t>
      </w:r>
      <w:r>
        <w:rPr>
          <w:rFonts w:cs="Arial" w:ascii="Cambria" w:hAnsi="Cambria"/>
          <w:sz w:val="24"/>
          <w:szCs w:val="24"/>
        </w:rPr>
        <w:t>.</w:t>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sz w:val="24"/>
          <w:szCs w:val="24"/>
        </w:rPr>
        <w:t xml:space="preserve">No caso dos autos, o impugnado, conforme se observa da documentação anexa, </w:t>
      </w:r>
      <w:r>
        <w:rPr>
          <w:rFonts w:cs="Arial" w:ascii="Cambria" w:hAnsi="Cambria"/>
          <w:color w:val="000000"/>
          <w:sz w:val="24"/>
          <w:szCs w:val="24"/>
        </w:rPr>
        <w:t xml:space="preserve">foi demitido do cargo de XXXXXX, por decisão prolatada pelo Presidente do Tribunal de Justiça do Estado do Tocantins, de </w:t>
      </w:r>
      <w:r>
        <w:rPr>
          <w:rFonts w:cs="Arial" w:ascii="Cambria" w:hAnsi="Cambria"/>
          <w:color w:val="C9211E"/>
          <w:sz w:val="24"/>
          <w:szCs w:val="24"/>
        </w:rPr>
        <w:t>data</w:t>
      </w:r>
      <w:r>
        <w:rPr>
          <w:rFonts w:cs="Arial" w:ascii="Cambria" w:hAnsi="Cambria"/>
          <w:color w:val="000000"/>
          <w:sz w:val="24"/>
          <w:szCs w:val="24"/>
        </w:rPr>
        <w:t>.</w:t>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Em síntese, a conduta pela qual o impugnado foi demitido consistiu em (NARRAR SINTETICAMENTE O FATO).</w:t>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De outro lado, não há qualquer notícia apontando a existência de provimento jurisdicional suspendendo ou anulando a aludida decisão administrativa de demissão do serviço público.</w:t>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Sobre a questão, o Tribunal Superior Eleitoral já decidiu que:</w:t>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Arial"/>
          <w:color w:val="000000"/>
          <w:sz w:val="24"/>
          <w:szCs w:val="24"/>
        </w:rPr>
      </w:pPr>
      <w:r>
        <w:rPr>
          <w:rFonts w:cs="Arial" w:ascii="Cambria" w:hAnsi="Cambria"/>
          <w:color w:val="000000"/>
          <w:sz w:val="24"/>
          <w:szCs w:val="24"/>
        </w:rPr>
        <w:t xml:space="preserve"> </w:t>
      </w:r>
    </w:p>
    <w:p>
      <w:pPr>
        <w:pStyle w:val="Recuodecorpodetexto31"/>
        <w:widowControl/>
        <w:tabs>
          <w:tab w:val="clear" w:pos="708"/>
          <w:tab w:val="left" w:pos="2268" w:leader="none"/>
        </w:tabs>
        <w:suppressAutoHyphens w:val="true"/>
        <w:overflowPunct w:val="true"/>
        <w:bidi w:val="0"/>
        <w:spacing w:lineRule="auto" w:line="360" w:before="0" w:after="0"/>
        <w:ind w:left="2324" w:right="0" w:hanging="0"/>
        <w:jc w:val="both"/>
        <w:rPr/>
      </w:pPr>
      <w:r>
        <w:rPr>
          <w:rFonts w:cs="Arial" w:ascii="Cambria" w:hAnsi="Cambria"/>
          <w:color w:val="000000"/>
          <w:sz w:val="22"/>
          <w:szCs w:val="22"/>
        </w:rPr>
        <w:t>ELEIÇÕES 2018. RECURSO ORDINÁRIO. REGISTRO DE CANDIDATURA. DEPUTADO ESTADUAL. DEMISSÃO DO SERVIÇO PÚBLICO. INCIDÊNCIA DA INELEGIBILIDADE INSCULPIDA NO ART. 1°, I, O, DA LEI COMPLEMENTAR N° 64/90. INDEFERIMENTO. NEGATIVA DE PROVIMENTO.</w:t>
      </w:r>
    </w:p>
    <w:p>
      <w:pPr>
        <w:pStyle w:val="Recuodecorpodetexto31"/>
        <w:widowControl/>
        <w:tabs>
          <w:tab w:val="clear" w:pos="708"/>
          <w:tab w:val="left" w:pos="2268" w:leader="none"/>
        </w:tabs>
        <w:suppressAutoHyphens w:val="true"/>
        <w:overflowPunct w:val="true"/>
        <w:bidi w:val="0"/>
        <w:spacing w:lineRule="auto" w:line="360" w:before="0" w:after="0"/>
        <w:ind w:left="2324" w:right="0" w:hanging="0"/>
        <w:jc w:val="both"/>
        <w:rPr/>
      </w:pPr>
      <w:r>
        <w:rPr>
          <w:rFonts w:cs="Arial" w:ascii="Cambria" w:hAnsi="Cambria"/>
          <w:color w:val="000000"/>
          <w:sz w:val="22"/>
          <w:szCs w:val="22"/>
        </w:rPr>
        <w:t>1. À luz do art. 1º, I, o, da LC 64/90, são inelegíveis, pelo prazo de oito anos, os candidatos demitidos do serviço público em decorrência de processo administrativo ou judicial, salvo se o ato houver sido suspenso ou anulado pelo Poder Judiciário.</w:t>
      </w:r>
    </w:p>
    <w:p>
      <w:pPr>
        <w:pStyle w:val="Recuodecorpodetexto31"/>
        <w:widowControl/>
        <w:tabs>
          <w:tab w:val="clear" w:pos="708"/>
          <w:tab w:val="left" w:pos="2268" w:leader="none"/>
        </w:tabs>
        <w:suppressAutoHyphens w:val="true"/>
        <w:overflowPunct w:val="true"/>
        <w:bidi w:val="0"/>
        <w:spacing w:lineRule="auto" w:line="360" w:before="0" w:after="0"/>
        <w:ind w:left="2324" w:right="0" w:hanging="0"/>
        <w:jc w:val="both"/>
        <w:rPr/>
      </w:pPr>
      <w:r>
        <w:rPr>
          <w:rFonts w:cs="Arial" w:ascii="Cambria" w:hAnsi="Cambria"/>
          <w:color w:val="000000"/>
          <w:sz w:val="22"/>
          <w:szCs w:val="22"/>
        </w:rPr>
        <w:t xml:space="preserve">2. </w:t>
      </w:r>
      <w:r>
        <w:rPr>
          <w:rFonts w:cs="Arial" w:ascii="Cambria" w:hAnsi="Cambria"/>
          <w:color w:val="000000"/>
          <w:sz w:val="22"/>
          <w:szCs w:val="22"/>
        </w:rPr>
        <w:t>A</w:t>
      </w:r>
      <w:r>
        <w:rPr>
          <w:rFonts w:cs="Arial" w:ascii="Cambria" w:hAnsi="Cambria"/>
          <w:color w:val="000000"/>
          <w:sz w:val="22"/>
          <w:szCs w:val="22"/>
        </w:rPr>
        <w:t>ludida causa de inelegibilidade incidirá sempre que o pretenso candidato for demitido do serviço público e não houver a suspensão ou anulação do ato pelo Poder Judiciário.</w:t>
      </w:r>
    </w:p>
    <w:p>
      <w:pPr>
        <w:pStyle w:val="Recuodecorpodetexto31"/>
        <w:widowControl/>
        <w:tabs>
          <w:tab w:val="clear" w:pos="708"/>
          <w:tab w:val="left" w:pos="2268" w:leader="none"/>
        </w:tabs>
        <w:suppressAutoHyphens w:val="true"/>
        <w:overflowPunct w:val="true"/>
        <w:bidi w:val="0"/>
        <w:spacing w:lineRule="auto" w:line="360" w:before="0" w:after="0"/>
        <w:ind w:left="2324" w:right="0" w:hanging="0"/>
        <w:jc w:val="both"/>
        <w:rPr/>
      </w:pPr>
      <w:r>
        <w:rPr>
          <w:rFonts w:cs="Arial" w:ascii="Cambria" w:hAnsi="Cambria"/>
          <w:color w:val="000000"/>
          <w:sz w:val="22"/>
          <w:szCs w:val="22"/>
        </w:rPr>
        <w:t xml:space="preserve">3. No caso em exame, Paulo César Gomes foi demitido do serviço público, em razão de abandono do cargo, por meio de processo administrativo disciplinar. Não há notícia suspensão ou anulação do ato pelo Poder Judiciário. Infere–se, assim, que o fato se subsume à hipótese de inelegibilidade descrita na alínea o da Lei de Inelegibilidades. (RO - Recurso Ordinário nº 0604759-96/SP, Acórdão de 16/10/2018, Relator(a) Min. Luís Roberto Barroso, Relator(a) designado(a) Min. Edson Fachin, Publicação:PSESS - Publicado em Sessão, Data 16/10/2018). </w:t>
      </w:r>
    </w:p>
    <w:p>
      <w:pPr>
        <w:pStyle w:val="Recuodecorpodetexto31"/>
        <w:tabs>
          <w:tab w:val="clear" w:pos="708"/>
          <w:tab w:val="left" w:pos="2268" w:leader="none"/>
        </w:tabs>
        <w:spacing w:lineRule="auto" w:line="360"/>
        <w:ind w:left="-10" w:right="0" w:firstLine="2315"/>
        <w:rPr>
          <w:rFonts w:ascii="Cambria" w:hAnsi="Cambria" w:cs="Arial"/>
          <w:color w:val="000000"/>
          <w:sz w:val="24"/>
          <w:szCs w:val="24"/>
        </w:rPr>
      </w:pPr>
      <w:r>
        <w:rPr>
          <w:rFonts w:cs="Arial" w:ascii="Cambria" w:hAnsi="Cambria"/>
          <w:color w:val="000000"/>
          <w:sz w:val="24"/>
          <w:szCs w:val="24"/>
        </w:rPr>
      </w:r>
    </w:p>
    <w:p>
      <w:pPr>
        <w:pStyle w:val="Normal"/>
        <w:widowControl/>
        <w:tabs>
          <w:tab w:val="clear" w:pos="708"/>
          <w:tab w:val="left" w:pos="2268" w:leader="none"/>
        </w:tabs>
        <w:bidi w:val="0"/>
        <w:spacing w:lineRule="auto" w:line="360"/>
        <w:ind w:left="0" w:right="0" w:firstLine="1701"/>
        <w:jc w:val="both"/>
        <w:rPr>
          <w:rFonts w:ascii="Cambria" w:hAnsi="Cambria"/>
          <w:sz w:val="24"/>
          <w:szCs w:val="24"/>
        </w:rPr>
      </w:pPr>
      <w:r>
        <w:rPr>
          <w:rFonts w:cs="Arial" w:ascii="Cambria" w:hAnsi="Cambria"/>
          <w:color w:val="000000"/>
          <w:sz w:val="24"/>
          <w:szCs w:val="24"/>
        </w:rPr>
        <w:t xml:space="preserve">O Supremo Tribunal Federal – em decisão com efeito </w:t>
      </w:r>
      <w:r>
        <w:rPr>
          <w:rFonts w:cs="Arial" w:ascii="Cambria" w:hAnsi="Cambria"/>
          <w:i/>
          <w:color w:val="000000"/>
          <w:sz w:val="24"/>
          <w:szCs w:val="24"/>
        </w:rPr>
        <w:t>erga omnes</w:t>
      </w:r>
      <w:r>
        <w:rPr>
          <w:rFonts w:cs="Arial" w:ascii="Cambria" w:hAnsi="Cambria"/>
          <w:color w:val="000000"/>
          <w:sz w:val="24"/>
          <w:szCs w:val="24"/>
        </w:rPr>
        <w:t xml:space="preserve"> e vinculante (ADC nº 29, ADC nº 30 e ADIn nº 4.578, j. 16.02.2012) – decidiu pela constitucionalidade da Lei Complementar nº 135/10, assentando que a restrição à capacidade eleitoral passiva, a partir da decisão de órgão colegiado, não fere o princípio da presunção de inocência e, ainda, a possibilidade de aplicação das causas de inelegibilidade aos fatos cometidos anteriormente à vigência do novo diploma normativo.</w:t>
      </w:r>
    </w:p>
    <w:p>
      <w:pPr>
        <w:pStyle w:val="Normal"/>
        <w:widowControl/>
        <w:tabs>
          <w:tab w:val="clear" w:pos="708"/>
          <w:tab w:val="left" w:pos="2268" w:leader="none"/>
        </w:tabs>
        <w:bidi w:val="0"/>
        <w:spacing w:lineRule="auto" w:line="360"/>
        <w:ind w:left="0" w:right="0" w:firstLine="1701"/>
        <w:jc w:val="both"/>
        <w:rPr>
          <w:rFonts w:ascii="Cambria" w:hAnsi="Cambria"/>
          <w:sz w:val="24"/>
          <w:szCs w:val="24"/>
        </w:rPr>
      </w:pPr>
      <w:r>
        <w:rPr/>
      </w:r>
    </w:p>
    <w:p>
      <w:pPr>
        <w:pStyle w:val="Normal"/>
        <w:widowControl/>
        <w:tabs>
          <w:tab w:val="clear" w:pos="708"/>
          <w:tab w:val="left" w:pos="2268" w:leader="none"/>
        </w:tabs>
        <w:bidi w:val="0"/>
        <w:spacing w:lineRule="auto" w:line="360"/>
        <w:ind w:left="0" w:right="0" w:firstLine="1701"/>
        <w:jc w:val="both"/>
        <w:rPr>
          <w:rFonts w:ascii="Cambria" w:hAnsi="Cambria" w:cs="Arial"/>
          <w:color w:val="000000"/>
          <w:sz w:val="24"/>
          <w:szCs w:val="24"/>
        </w:rPr>
      </w:pPr>
      <w:r>
        <w:rPr>
          <w:rFonts w:cs="Arial" w:ascii="Cambria" w:hAnsi="Cambria"/>
          <w:color w:val="000000"/>
          <w:sz w:val="24"/>
          <w:szCs w:val="24"/>
        </w:rPr>
        <w:t>Deste modo, tendo em vista o princípio da preclusão (art. 259 do Código Eleitoral), impõe-se o ajuizamento da presente ação de impugnação, pois se trata de causa de inelegibilidade infraconstitucional.</w:t>
      </w:r>
    </w:p>
    <w:p>
      <w:pPr>
        <w:pStyle w:val="Normal"/>
        <w:widowControl/>
        <w:tabs>
          <w:tab w:val="clear" w:pos="708"/>
          <w:tab w:val="left" w:pos="2268" w:leader="none"/>
        </w:tabs>
        <w:bidi w:val="0"/>
        <w:spacing w:lineRule="auto" w:line="360"/>
        <w:ind w:left="0" w:right="0" w:firstLine="1701"/>
        <w:jc w:val="both"/>
        <w:rPr>
          <w:rFonts w:ascii="Cambria" w:hAnsi="Cambria" w:cs="Arial"/>
          <w:color w:val="000000"/>
          <w:sz w:val="24"/>
          <w:szCs w:val="24"/>
        </w:rPr>
      </w:pPr>
      <w:r>
        <w:rPr/>
      </w:r>
    </w:p>
    <w:p>
      <w:pPr>
        <w:pStyle w:val="Corpodotexto"/>
        <w:widowControl/>
        <w:tabs>
          <w:tab w:val="clear" w:pos="708"/>
        </w:tabs>
        <w:bidi w:val="0"/>
        <w:spacing w:lineRule="auto" w:line="360"/>
        <w:ind w:left="0" w:right="0" w:firstLine="1701"/>
        <w:jc w:val="both"/>
        <w:rPr>
          <w:rFonts w:ascii="Cambria" w:hAnsi="Cambria" w:cs="Arial"/>
          <w:sz w:val="24"/>
          <w:szCs w:val="24"/>
        </w:rPr>
      </w:pPr>
      <w:r>
        <w:rPr>
          <w:rFonts w:cs="Arial" w:ascii="Cambria" w:hAnsi="Cambria"/>
          <w:sz w:val="24"/>
          <w:szCs w:val="24"/>
        </w:rPr>
        <w:t>Diante do exposto, o Ministério Público Eleitoral requer:</w:t>
      </w:r>
    </w:p>
    <w:p>
      <w:pPr>
        <w:pStyle w:val="Corpodotexto"/>
        <w:widowControl/>
        <w:tabs>
          <w:tab w:val="clear" w:pos="708"/>
        </w:tabs>
        <w:bidi w:val="0"/>
        <w:spacing w:lineRule="auto" w:line="360"/>
        <w:ind w:left="0" w:right="0" w:firstLine="1701"/>
        <w:jc w:val="both"/>
        <w:rPr>
          <w:rFonts w:ascii="Cambria" w:hAnsi="Cambria" w:cs="Arial"/>
          <w:sz w:val="24"/>
          <w:szCs w:val="24"/>
        </w:rPr>
      </w:pPr>
      <w:r>
        <w:rPr/>
      </w:r>
    </w:p>
    <w:p>
      <w:pPr>
        <w:pStyle w:val="Corpodotexto"/>
        <w:widowControl/>
        <w:tabs>
          <w:tab w:val="clear" w:pos="708"/>
        </w:tabs>
        <w:bidi w:val="0"/>
        <w:spacing w:lineRule="auto" w:line="360"/>
        <w:ind w:left="0" w:right="0" w:firstLine="1701"/>
        <w:jc w:val="both"/>
        <w:rPr>
          <w:rFonts w:ascii="Cambria" w:hAnsi="Cambria"/>
          <w:sz w:val="24"/>
          <w:szCs w:val="24"/>
        </w:rPr>
      </w:pPr>
      <w:r>
        <w:rPr>
          <w:rFonts w:cs="Arial" w:ascii="Cambria" w:hAnsi="Cambria"/>
          <w:b/>
          <w:bCs/>
          <w:sz w:val="24"/>
          <w:szCs w:val="24"/>
        </w:rPr>
        <w:t>(a)</w:t>
      </w:r>
      <w:r>
        <w:rPr>
          <w:rFonts w:cs="Arial" w:ascii="Cambria" w:hAnsi="Cambria"/>
          <w:sz w:val="24"/>
          <w:szCs w:val="24"/>
        </w:rPr>
        <w:t xml:space="preserve"> o recebimento da presente ação de impugnação;</w:t>
      </w:r>
    </w:p>
    <w:p>
      <w:pPr>
        <w:pStyle w:val="Corpodotexto"/>
        <w:widowControl/>
        <w:tabs>
          <w:tab w:val="clear" w:pos="708"/>
        </w:tabs>
        <w:bidi w:val="0"/>
        <w:spacing w:lineRule="auto" w:line="360"/>
        <w:ind w:left="0" w:right="0" w:firstLine="1701"/>
        <w:jc w:val="both"/>
        <w:rPr>
          <w:rFonts w:ascii="Cambria" w:hAnsi="Cambria"/>
          <w:sz w:val="24"/>
          <w:szCs w:val="24"/>
        </w:rPr>
      </w:pPr>
      <w:r>
        <w:rPr>
          <w:rFonts w:cs="Arial" w:ascii="Cambria" w:hAnsi="Cambria"/>
          <w:b/>
          <w:bCs/>
          <w:sz w:val="24"/>
          <w:szCs w:val="24"/>
        </w:rPr>
        <w:t>(b)</w:t>
      </w:r>
      <w:r>
        <w:rPr>
          <w:rFonts w:cs="Arial" w:ascii="Cambria" w:hAnsi="Cambria"/>
          <w:sz w:val="24"/>
          <w:szCs w:val="24"/>
        </w:rPr>
        <w:t xml:space="preserve"> seja o impugnado devidamente notificado, para que, querendo, ofereça sua defesa, nos termos do art. 4º da LC nº 64/90;</w:t>
      </w:r>
    </w:p>
    <w:p>
      <w:pPr>
        <w:pStyle w:val="Corpodotexto"/>
        <w:widowControl/>
        <w:tabs>
          <w:tab w:val="clear" w:pos="708"/>
        </w:tabs>
        <w:bidi w:val="0"/>
        <w:spacing w:lineRule="auto" w:line="360"/>
        <w:ind w:left="0" w:right="0" w:firstLine="1701"/>
        <w:jc w:val="both"/>
        <w:rPr>
          <w:rFonts w:ascii="Cambria" w:hAnsi="Cambria"/>
          <w:sz w:val="24"/>
          <w:szCs w:val="24"/>
        </w:rPr>
      </w:pPr>
      <w:r>
        <w:rPr>
          <w:rFonts w:cs="Arial" w:ascii="Cambria" w:hAnsi="Cambria"/>
          <w:b/>
          <w:bCs/>
          <w:sz w:val="24"/>
          <w:szCs w:val="24"/>
        </w:rPr>
        <w:t xml:space="preserve">(c) </w:t>
      </w:r>
      <w:r>
        <w:rPr>
          <w:rFonts w:cs="Arial" w:ascii="Cambria" w:hAnsi="Cambria"/>
          <w:sz w:val="24"/>
          <w:szCs w:val="24"/>
        </w:rPr>
        <w:t>que seja notificado o Partido XXX;</w:t>
      </w:r>
    </w:p>
    <w:p>
      <w:pPr>
        <w:pStyle w:val="Corpodotexto"/>
        <w:widowControl/>
        <w:tabs>
          <w:tab w:val="clear" w:pos="708"/>
        </w:tabs>
        <w:bidi w:val="0"/>
        <w:spacing w:lineRule="auto" w:line="360"/>
        <w:ind w:left="0" w:right="0" w:firstLine="1701"/>
        <w:jc w:val="both"/>
        <w:rPr>
          <w:rFonts w:ascii="Cambria" w:hAnsi="Cambria"/>
          <w:sz w:val="24"/>
          <w:szCs w:val="24"/>
        </w:rPr>
      </w:pPr>
      <w:r>
        <w:rPr>
          <w:rFonts w:cs="Arial" w:ascii="Cambria" w:hAnsi="Cambria"/>
          <w:b/>
          <w:bCs/>
          <w:sz w:val="24"/>
          <w:szCs w:val="24"/>
        </w:rPr>
        <w:t>(d)</w:t>
      </w:r>
      <w:r>
        <w:rPr>
          <w:rFonts w:cs="Arial" w:ascii="Cambria" w:hAnsi="Cambria"/>
          <w:sz w:val="24"/>
          <w:szCs w:val="24"/>
        </w:rPr>
        <w:t xml:space="preserve"> que, em diligência, seja juntado ao presente cópia do pedido de registro do impugnado;</w:t>
      </w:r>
    </w:p>
    <w:p>
      <w:pPr>
        <w:pStyle w:val="Corpodotexto"/>
        <w:widowControl/>
        <w:tabs>
          <w:tab w:val="clear" w:pos="708"/>
        </w:tabs>
        <w:bidi w:val="0"/>
        <w:spacing w:lineRule="auto" w:line="360"/>
        <w:ind w:left="0" w:right="0" w:firstLine="1701"/>
        <w:jc w:val="both"/>
        <w:rPr>
          <w:rFonts w:ascii="Cambria" w:hAnsi="Cambria"/>
          <w:sz w:val="24"/>
          <w:szCs w:val="24"/>
        </w:rPr>
      </w:pPr>
      <w:r>
        <w:rPr>
          <w:rFonts w:cs="Arial" w:ascii="Cambria" w:hAnsi="Cambria"/>
          <w:b/>
          <w:bCs/>
          <w:sz w:val="24"/>
          <w:szCs w:val="24"/>
        </w:rPr>
        <w:t>(e)</w:t>
      </w:r>
      <w:r>
        <w:rPr>
          <w:rFonts w:cs="Arial" w:ascii="Cambria" w:hAnsi="Cambria"/>
          <w:sz w:val="24"/>
          <w:szCs w:val="24"/>
        </w:rPr>
        <w:t xml:space="preserve"> seja juntada a documentação anexa;</w:t>
      </w:r>
    </w:p>
    <w:p>
      <w:pPr>
        <w:pStyle w:val="Corpodotexto"/>
        <w:widowControl/>
        <w:tabs>
          <w:tab w:val="clear" w:pos="708"/>
        </w:tabs>
        <w:bidi w:val="0"/>
        <w:spacing w:lineRule="auto" w:line="360"/>
        <w:ind w:left="0" w:right="0" w:firstLine="1701"/>
        <w:jc w:val="both"/>
        <w:rPr>
          <w:rFonts w:ascii="Cambria" w:hAnsi="Cambria"/>
          <w:sz w:val="24"/>
          <w:szCs w:val="24"/>
        </w:rPr>
      </w:pPr>
      <w:r>
        <w:rPr>
          <w:rFonts w:cs="Arial" w:ascii="Cambria" w:hAnsi="Cambria"/>
          <w:b/>
          <w:bCs/>
          <w:sz w:val="24"/>
          <w:szCs w:val="24"/>
        </w:rPr>
        <w:t>(f)</w:t>
      </w:r>
      <w:r>
        <w:rPr>
          <w:rFonts w:cs="Arial" w:ascii="Cambria" w:hAnsi="Cambria"/>
          <w:sz w:val="24"/>
          <w:szCs w:val="24"/>
        </w:rPr>
        <w:t xml:space="preserve"> protesta pela produção de todos os meios de prova em direito admitidos;</w:t>
      </w:r>
    </w:p>
    <w:p>
      <w:pPr>
        <w:pStyle w:val="Corpodotexto"/>
        <w:widowControl/>
        <w:tabs>
          <w:tab w:val="clear" w:pos="708"/>
        </w:tabs>
        <w:bidi w:val="0"/>
        <w:spacing w:lineRule="auto" w:line="360"/>
        <w:ind w:left="0" w:right="0" w:firstLine="1701"/>
        <w:jc w:val="both"/>
        <w:rPr>
          <w:rFonts w:ascii="Cambria" w:hAnsi="Cambria"/>
          <w:sz w:val="24"/>
          <w:szCs w:val="24"/>
        </w:rPr>
      </w:pPr>
      <w:r>
        <w:rPr>
          <w:rFonts w:cs="Arial" w:ascii="Cambria" w:hAnsi="Cambria"/>
          <w:b/>
          <w:sz w:val="24"/>
          <w:szCs w:val="24"/>
        </w:rPr>
        <w:t xml:space="preserve">(g) </w:t>
      </w:r>
      <w:r>
        <w:rPr>
          <w:rFonts w:cs="Arial" w:ascii="Cambria" w:hAnsi="Cambria"/>
          <w:sz w:val="24"/>
          <w:szCs w:val="24"/>
        </w:rPr>
        <w:t>encerrado o prazo da dilação probatória, seja oportunizado às partes o oferecimento de alegações finais, nos termos do art. 6º da LC n. 64/90; e,</w:t>
      </w:r>
    </w:p>
    <w:p>
      <w:pPr>
        <w:pStyle w:val="Corpodotexto"/>
        <w:widowControl/>
        <w:tabs>
          <w:tab w:val="clear" w:pos="708"/>
        </w:tabs>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b/>
          <w:bCs/>
          <w:color w:val="000000"/>
          <w:sz w:val="24"/>
          <w:szCs w:val="24"/>
        </w:rPr>
        <w:t>(h)</w:t>
      </w:r>
      <w:r>
        <w:rPr>
          <w:rFonts w:cs="Arial" w:ascii="Cambria" w:hAnsi="Cambria"/>
          <w:color w:val="000000"/>
          <w:sz w:val="24"/>
          <w:szCs w:val="24"/>
        </w:rPr>
        <w:t xml:space="preserve"> por fim, que seja a presente ação de impugnação de candidato </w:t>
      </w:r>
      <w:r>
        <w:rPr>
          <w:rFonts w:cs="Arial" w:ascii="Cambria" w:hAnsi="Cambria"/>
          <w:b/>
          <w:color w:val="000000"/>
          <w:sz w:val="24"/>
          <w:szCs w:val="24"/>
        </w:rPr>
        <w:t>julgada integralmente procedente</w:t>
      </w:r>
      <w:r>
        <w:rPr>
          <w:rFonts w:cs="Arial" w:ascii="Cambria" w:hAnsi="Cambria"/>
          <w:color w:val="000000"/>
          <w:sz w:val="24"/>
          <w:szCs w:val="24"/>
        </w:rPr>
        <w:t>, para o fim de indeferir o registro do impugnado.</w:t>
      </w:r>
    </w:p>
    <w:p>
      <w:pPr>
        <w:pStyle w:val="Normal"/>
        <w:widowControl/>
        <w:suppressAutoHyphens w:val="true"/>
        <w:overflowPunct w:val="tru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tru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Recuodecorpodetexto31">
    <w:name w:val="Recuo de corpo de texto 31"/>
    <w:basedOn w:val="Normal"/>
    <w:qFormat/>
    <w:pPr>
      <w:suppressAutoHyphens w:val="true"/>
      <w:ind w:left="1985" w:right="0" w:hanging="0"/>
      <w:jc w:val="both"/>
    </w:pPr>
    <w:rPr>
      <w:rFonts w:ascii="Times New Roman" w:hAnsi="Times New Roman" w:cs="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28</TotalTime>
  <Application>LibreOffice/7.2.6.2$Windows_X86_64 LibreOffice_project/b0ec3a565991f7569a5a7f5d24fed7f52653d754</Application>
  <AppVersion>15.0000</AppVersion>
  <Pages>3</Pages>
  <Words>671</Words>
  <Characters>3666</Characters>
  <CharactersWithSpaces>4315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2023-06-06T16:06:35Z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