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EXCELENTÍSSIMO SENHOR JUIZ DA 9ª ZONA ELEITORAL/TO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Autos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600083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.27.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PÚBLICO ELEITORAL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pelo membro que abaixo subscreve, com fulcro nos arts. 275 do Código Eleitoral e 1022, I, II e III e 481, § 1º, I, III e IV do Código de Processo Civil (CPC), opõe</w:t>
      </w:r>
    </w:p>
    <w:p w:rsidR="00000000" w:rsidDel="00000000" w:rsidP="00000000" w:rsidRDefault="00000000" w:rsidRPr="00000000" w14:paraId="00000009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EMBARGOS DE DECLARAÇÃO</w:t>
      </w:r>
    </w:p>
    <w:p w:rsidR="00000000" w:rsidDel="00000000" w:rsidP="00000000" w:rsidRDefault="00000000" w:rsidRPr="00000000" w14:paraId="0000000A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face da sentença juntada aos autos sob o ID 122202001.</w:t>
      </w:r>
    </w:p>
    <w:p w:rsidR="00000000" w:rsidDel="00000000" w:rsidP="00000000" w:rsidRDefault="00000000" w:rsidRPr="00000000" w14:paraId="0000000B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os aclaratórios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tempestivos,</w:t>
      </w:r>
      <w:r w:rsidDel="00000000" w:rsidR="00000000" w:rsidRPr="00000000">
        <w:rPr>
          <w:rFonts w:ascii="Arial" w:cs="Arial" w:eastAsia="Arial" w:hAnsi="Arial"/>
          <w:rtl w:val="0"/>
        </w:rPr>
        <w:t xml:space="preserve"> já que respeitado o prazo, ainda não aberto,  de 3 (três) dias para o manejo.</w:t>
      </w:r>
    </w:p>
    <w:p w:rsidR="00000000" w:rsidDel="00000000" w:rsidP="00000000" w:rsidRDefault="00000000" w:rsidRPr="00000000" w14:paraId="0000000D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adequados, uma vez identificadas as três hipóteses de cabimento, como se demonstrará: erro material, contradição e omissão.</w:t>
      </w:r>
    </w:p>
    <w:p w:rsidR="00000000" w:rsidDel="00000000" w:rsidP="00000000" w:rsidRDefault="00000000" w:rsidRPr="00000000" w14:paraId="0000000E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DOS FATOS</w:t>
      </w:r>
    </w:p>
    <w:p w:rsidR="00000000" w:rsidDel="00000000" w:rsidP="00000000" w:rsidRDefault="00000000" w:rsidRPr="00000000" w14:paraId="00000010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ERRO MATERIAL - MENÇÃO A POSICIONAMENTO DO MINISTÉRIO PÚBLICO NÃO CONDIZENTE COM A MANIFESTAÇÃO PRÉVIA DESTE ÓRGÃO</w:t>
      </w:r>
    </w:p>
    <w:p w:rsidR="00000000" w:rsidDel="00000000" w:rsidP="00000000" w:rsidRDefault="00000000" w:rsidRPr="00000000" w14:paraId="00000012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 com a sentença, o Ministério Público Eleitoral teria se manifestado favoravelmente à aprovação das contas, onde se percebe erro material e eventual influência na decisão, em face das várias contas apreciadas diariamente.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órgão ministerial pugnou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DESAPROVAÇÃO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das contas (ID 122202134), elencando vários motivos para tanto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erro material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é a determinação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intimação do Ministério Público na forma do art. 99 </w:t>
      </w:r>
      <w:r w:rsidDel="00000000" w:rsidR="00000000" w:rsidRPr="00000000">
        <w:rPr>
          <w:rFonts w:ascii="Arial" w:cs="Arial" w:eastAsia="Arial" w:hAnsi="Arial"/>
          <w:rtl w:val="0"/>
        </w:rPr>
        <w:t xml:space="preserve">da Resolução 23.607/2019, aplicável ao período que menciona, embora sem relevância para a ação, já que efetuada da maneira correta. Salvo a exceção de um curto período, a intimação do Ministério Público é sempre pessoal.</w:t>
      </w:r>
    </w:p>
    <w:p w:rsidR="00000000" w:rsidDel="00000000" w:rsidP="00000000" w:rsidRDefault="00000000" w:rsidRPr="00000000" w14:paraId="00000014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CONTRADIÇÃO - DOCUMENTOS TIDOS COMO ENTREGUES NÃO DISPONIBILIZADOS</w:t>
      </w:r>
    </w:p>
    <w:p w:rsidR="00000000" w:rsidDel="00000000" w:rsidP="00000000" w:rsidRDefault="00000000" w:rsidRPr="00000000" w14:paraId="00000016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juízo menciona na decisão o fato de os municípios da zona terem menos de 50.000 eleitores, será “aplicável a TODOS os candidatos” a prestação de contas simplificada. Embora não seja o cerne da questão, a afirmação não prospera: em casos de impugnação, a prestação de contas simplificada NÃO é aplicada.</w:t>
      </w:r>
    </w:p>
    <w:p w:rsidR="00000000" w:rsidDel="00000000" w:rsidP="00000000" w:rsidRDefault="00000000" w:rsidRPr="00000000" w14:paraId="00000017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Sigamos para a contradição de real interesse. </w:t>
      </w:r>
    </w:p>
    <w:p w:rsidR="00000000" w:rsidDel="00000000" w:rsidP="00000000" w:rsidRDefault="00000000" w:rsidRPr="00000000" w14:paraId="00000018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juízo aplica, adequadamente, a prestação de contas simplificada e limita-se a citar dispositivo legal que traz os documentos que devem instruí-la. É um deles (art. 53, II, “a”, “b”, “d” e “f” da Resolução TSE 23.607/2019), embora nada se fundamente: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extrato da conta bancária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, demonstrando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movimentação financeira ou sua ausência, </w:t>
      </w:r>
      <w:r w:rsidDel="00000000" w:rsidR="00000000" w:rsidRPr="00000000">
        <w:rPr>
          <w:rFonts w:ascii="Arial" w:cs="Arial" w:eastAsia="Arial" w:hAnsi="Arial"/>
          <w:rtl w:val="0"/>
        </w:rPr>
        <w:t xml:space="preserve">em sua forma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definitiva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9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Ainda que o documento possa ser extraídos de sistema da Justiça Eleitoral em certos casos, entende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TSE, conforme jurisprudência transcrita na manifestação, ser a ausência causa de reprovação, A ideia é a de que não somos tutores dos partidos e as informações detidas são para confrontar dados, e não para suprir a inércia de quem quer assumir um governo</w:t>
      </w:r>
      <w:r w:rsidDel="00000000" w:rsidR="00000000" w:rsidRPr="00000000">
        <w:rPr>
          <w:rFonts w:ascii="Arial" w:cs="Arial" w:eastAsia="Arial" w:hAnsi="Arial"/>
          <w:rtl w:val="0"/>
        </w:rPr>
        <w:t xml:space="preserve">. Como no Imposto de Renda.</w:t>
      </w:r>
    </w:p>
    <w:p w:rsidR="00000000" w:rsidDel="00000000" w:rsidP="00000000" w:rsidRDefault="00000000" w:rsidRPr="00000000" w14:paraId="0000001A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OMISSÃO</w:t>
      </w:r>
    </w:p>
    <w:p w:rsidR="00000000" w:rsidDel="00000000" w:rsidP="00000000" w:rsidRDefault="00000000" w:rsidRPr="00000000" w14:paraId="0000001C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a decisão se limita à indicação, à reprodução ou à paráfrase de ato normativo, sem explicar sua relação com a causa ou questão decidida;</w:t>
      </w:r>
    </w:p>
    <w:p w:rsidR="00000000" w:rsidDel="00000000" w:rsidP="00000000" w:rsidRDefault="00000000" w:rsidRPr="00000000" w14:paraId="0000001D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invoca</w:t>
      </w:r>
      <w:r w:rsidDel="00000000" w:rsidR="00000000" w:rsidRPr="00000000">
        <w:rPr>
          <w:rFonts w:ascii="Arial" w:cs="Arial" w:eastAsia="Arial" w:hAnsi="Arial"/>
          <w:rtl w:val="0"/>
        </w:rPr>
        <w:t xml:space="preserve"> motivos que se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prestariam</w:t>
      </w:r>
      <w:r w:rsidDel="00000000" w:rsidR="00000000" w:rsidRPr="00000000">
        <w:rPr>
          <w:rFonts w:ascii="Arial" w:cs="Arial" w:eastAsia="Arial" w:hAnsi="Arial"/>
          <w:rtl w:val="0"/>
        </w:rPr>
        <w:t xml:space="preserve"> a justificar qualquer outra decisão;</w:t>
      </w:r>
    </w:p>
    <w:p w:rsidR="00000000" w:rsidDel="00000000" w:rsidP="00000000" w:rsidRDefault="00000000" w:rsidRPr="00000000" w14:paraId="0000001E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não enfrenta todos os argumentos deduzidos no processo capazes de, em tese, infirmar a conclusão adotada pelo julgador.</w:t>
      </w:r>
    </w:p>
    <w:p w:rsidR="00000000" w:rsidDel="00000000" w:rsidP="00000000" w:rsidRDefault="00000000" w:rsidRPr="00000000" w14:paraId="0000001F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de acordo com o art. 481, § 1º do CPC, combinado com 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caput</w:t>
      </w:r>
      <w:r w:rsidDel="00000000" w:rsidR="00000000" w:rsidRPr="00000000">
        <w:rPr>
          <w:rFonts w:ascii="Arial" w:cs="Arial" w:eastAsia="Arial" w:hAnsi="Arial"/>
          <w:rtl w:val="0"/>
        </w:rPr>
        <w:t xml:space="preserve">, II, do mesmo dispositivo, não se encontra fundamentada a sentença. Como os fundamentos são elementos essenciais da sentença,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 outra</w:t>
      </w:r>
      <w:r w:rsidDel="00000000" w:rsidR="00000000" w:rsidRPr="00000000">
        <w:rPr>
          <w:rFonts w:ascii="Arial" w:cs="Arial" w:eastAsia="Arial" w:hAnsi="Arial"/>
          <w:rtl w:val="0"/>
        </w:rPr>
        <w:t xml:space="preserve"> ser prolatada caso se reconheça a presença de qualquer dos incisos acima, que se passa a enfrentar, começando pela análise conjunta dos itens “a” e “b” e finalizando pelo principal, “c”, que pode gerar efeitos infringentes aos aclaratórios ou, eventualmente, integrar nova decisão para possibilitar recurso.</w:t>
      </w:r>
    </w:p>
    <w:p w:rsidR="00000000" w:rsidDel="00000000" w:rsidP="00000000" w:rsidRDefault="00000000" w:rsidRPr="00000000" w14:paraId="00000020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“a” e “b”</w:t>
      </w:r>
    </w:p>
    <w:p w:rsidR="00000000" w:rsidDel="00000000" w:rsidP="00000000" w:rsidRDefault="00000000" w:rsidRPr="00000000" w14:paraId="00000022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Transcreve-se a sentença após parte inaugural composta pelo relatório, pelas afirmações gerais de que determinada resolução rege a apreciação das contas e apontamento de qual a modalidade de conta adotada em “TODOS”(SIC) os municípios da zona eleitoral.</w:t>
      </w:r>
    </w:p>
    <w:p w:rsidR="00000000" w:rsidDel="00000000" w:rsidP="00000000" w:rsidRDefault="00000000" w:rsidRPr="00000000" w14:paraId="00000023">
      <w:pPr>
        <w:tabs>
          <w:tab w:val="left" w:leader="none" w:pos="2983"/>
        </w:tabs>
        <w:spacing w:after="57" w:before="57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Verifica-se  que, devidamente publicado o edital, não houve qualquer impugnação.</w:t>
      </w:r>
    </w:p>
    <w:p w:rsidR="00000000" w:rsidDel="00000000" w:rsidP="00000000" w:rsidRDefault="00000000" w:rsidRPr="00000000" w14:paraId="00000024">
      <w:pPr>
        <w:tabs>
          <w:tab w:val="left" w:leader="none" w:pos="2983"/>
        </w:tabs>
        <w:spacing w:after="57" w:before="57" w:line="360" w:lineRule="auto"/>
        <w:ind w:left="2267.71653543307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unidade técnica não identificou irregularidades técnicas ou falhas capazes de comprometer a consistência das contas, opinando por sua aprovação.</w:t>
      </w:r>
    </w:p>
    <w:p w:rsidR="00000000" w:rsidDel="00000000" w:rsidP="00000000" w:rsidRDefault="00000000" w:rsidRPr="00000000" w14:paraId="00000025">
      <w:pPr>
        <w:tabs>
          <w:tab w:val="left" w:leader="none" w:pos="2983"/>
        </w:tabs>
        <w:spacing w:after="57" w:before="57" w:line="360" w:lineRule="auto"/>
        <w:ind w:left="2267.71653543307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Ministério Público também se manifestou favorável à aprovação das contas.</w:t>
      </w:r>
    </w:p>
    <w:p w:rsidR="00000000" w:rsidDel="00000000" w:rsidP="00000000" w:rsidRDefault="00000000" w:rsidRPr="00000000" w14:paraId="00000026">
      <w:pPr>
        <w:tabs>
          <w:tab w:val="left" w:leader="none" w:pos="2983"/>
        </w:tabs>
        <w:spacing w:after="57" w:before="57" w:line="360" w:lineRule="auto"/>
        <w:ind w:left="2267.71653543307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Posto isso, nos termos do artigo 67 c/c o artigo 74, I da Resolução TSE mº 23.607/2019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JULGO APROVADAS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 contas (...).</w:t>
      </w:r>
    </w:p>
    <w:p w:rsidR="00000000" w:rsidDel="00000000" w:rsidP="00000000" w:rsidRDefault="00000000" w:rsidRPr="00000000" w14:paraId="00000027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há, excelência, qualquer cotejamento com nada. Além disso, o órgão técnico analisa a parte técnica, não devendo adentrar à jurídica.</w:t>
      </w:r>
    </w:p>
    <w:p w:rsidR="00000000" w:rsidDel="00000000" w:rsidP="00000000" w:rsidRDefault="00000000" w:rsidRPr="00000000" w14:paraId="00000028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Qualquer decisão de aprovação poderia ter essas poucas palavras em seu corpo. </w:t>
      </w:r>
    </w:p>
    <w:p w:rsidR="00000000" w:rsidDel="00000000" w:rsidP="00000000" w:rsidRDefault="00000000" w:rsidRPr="00000000" w14:paraId="00000029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não se trata de negar que, em muitos momentos, padronizamos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parte</w:t>
      </w:r>
      <w:r w:rsidDel="00000000" w:rsidR="00000000" w:rsidRPr="00000000">
        <w:rPr>
          <w:rFonts w:ascii="Arial" w:cs="Arial" w:eastAsia="Arial" w:hAnsi="Arial"/>
          <w:rtl w:val="0"/>
        </w:rPr>
        <w:t xml:space="preserve"> das manifestações, decisões, principalmente na área eleitoral, fazendo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adaptações fáticas e jurídicas necessárias</w:t>
      </w:r>
      <w:r w:rsidDel="00000000" w:rsidR="00000000" w:rsidRPr="00000000">
        <w:rPr>
          <w:rFonts w:ascii="Arial" w:cs="Arial" w:eastAsia="Arial" w:hAnsi="Arial"/>
          <w:rtl w:val="0"/>
        </w:rPr>
        <w:t xml:space="preserve">. Mas o ato proferido restringiu-se a leis, corpo técnico, e menção equivocada à manifestação ministerial, esta última de várias laudas e amparada no direito e na jurisprudência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“c”</w:t>
      </w:r>
    </w:p>
    <w:p w:rsidR="00000000" w:rsidDel="00000000" w:rsidP="00000000" w:rsidRDefault="00000000" w:rsidRPr="00000000" w14:paraId="0000002C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se enfrentou qualquer argumento deduzido no processo capaz de infirmar a conclusão adotada pelo julgador.</w:t>
      </w:r>
    </w:p>
    <w:p w:rsidR="00000000" w:rsidDel="00000000" w:rsidP="00000000" w:rsidRDefault="00000000" w:rsidRPr="00000000" w14:paraId="0000002D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Certo que este valoroso juízo, com quem tenho a honra de ter trabalhado e eventualmente trabalhar, e com quem sempre aprendo, buscará a manifestação ministerial para cotejar com a sentença, será feita uma breve exposição da argumentação ministerial:</w:t>
      </w:r>
    </w:p>
    <w:p w:rsidR="00000000" w:rsidDel="00000000" w:rsidP="00000000" w:rsidRDefault="00000000" w:rsidRPr="00000000" w14:paraId="0000002E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ausência de extrato bancário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: fundamento - Resolução TSE 23.607/2019 (art. 53, II, “a” e 57, § 1º, este último prevê a obrigação até para contas sem movimentação financeira)j: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jurisprudência do TSE</w:t>
      </w:r>
      <w:r w:rsidDel="00000000" w:rsidR="00000000" w:rsidRPr="00000000">
        <w:rPr>
          <w:rFonts w:ascii="Arial" w:cs="Arial" w:eastAsia="Arial" w:hAnsi="Arial"/>
          <w:rtl w:val="0"/>
        </w:rPr>
        <w:t xml:space="preserve"> devidamente contextualizada; o fato óbvio de que se a resolução requer o extrato mesmo prevendo que documento similar será extraído do SPCE é porque há a exigência.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 mais: extrato com efeito legal, em sua forma definitiva, ainda que disponibilizada versão no SPCE e ainda que não haja movimentação financeira (principalmente nesses casos).</w:t>
      </w:r>
    </w:p>
    <w:p w:rsidR="00000000" w:rsidDel="00000000" w:rsidP="00000000" w:rsidRDefault="00000000" w:rsidRPr="00000000" w14:paraId="0000002F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intempestividade na apresentação das contas: </w:t>
      </w:r>
      <w:r w:rsidDel="00000000" w:rsidR="00000000" w:rsidRPr="00000000">
        <w:rPr>
          <w:rFonts w:ascii="Arial" w:cs="Arial" w:eastAsia="Arial" w:hAnsi="Arial"/>
          <w:rtl w:val="0"/>
        </w:rPr>
        <w:t xml:space="preserve">motivo, por si só, de ressalvas; com o extrato, desaprovação, que já seria o efeito da simples ausência do extrato.</w:t>
      </w:r>
    </w:p>
    <w:p w:rsidR="00000000" w:rsidDel="00000000" w:rsidP="00000000" w:rsidRDefault="00000000" w:rsidRPr="00000000" w14:paraId="00000030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contas zeradas:</w:t>
      </w:r>
      <w:r w:rsidDel="00000000" w:rsidR="00000000" w:rsidRPr="00000000">
        <w:rPr>
          <w:rFonts w:ascii="Arial" w:cs="Arial" w:eastAsia="Arial" w:hAnsi="Arial"/>
          <w:rtl w:val="0"/>
        </w:rPr>
        <w:t xml:space="preserve"> aqui houve apenas o apontamento, já que, em regra, não se valora a questão.</w:t>
      </w:r>
    </w:p>
    <w:p w:rsidR="00000000" w:rsidDel="00000000" w:rsidP="00000000" w:rsidRDefault="00000000" w:rsidRPr="00000000" w14:paraId="00000031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verifica-se, também aqui, que o juízo deixou de refutar argumentos que contrariam o ato prolatado.</w:t>
      </w:r>
    </w:p>
    <w:p w:rsidR="00000000" w:rsidDel="00000000" w:rsidP="00000000" w:rsidRDefault="00000000" w:rsidRPr="00000000" w14:paraId="00000032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 o exposto,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Público</w:t>
      </w:r>
      <w:r w:rsidDel="00000000" w:rsidR="00000000" w:rsidRPr="00000000">
        <w:rPr>
          <w:rFonts w:ascii="Arial" w:cs="Arial" w:eastAsia="Arial" w:hAnsi="Arial"/>
          <w:rtl w:val="0"/>
        </w:rPr>
        <w:t xml:space="preserve"> requer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conhecimento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provimento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dos embargos declaratórios opostos para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aclarar/prolatar a sentença</w:t>
      </w:r>
      <w:r w:rsidDel="00000000" w:rsidR="00000000" w:rsidRPr="00000000">
        <w:rPr>
          <w:rFonts w:ascii="Arial" w:cs="Arial" w:eastAsia="Arial" w:hAnsi="Arial"/>
          <w:rtl w:val="0"/>
        </w:rPr>
        <w:t xml:space="preserve"> e, casos emprestados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efeitos infringentes</w:t>
      </w:r>
      <w:r w:rsidDel="00000000" w:rsidR="00000000" w:rsidRPr="00000000">
        <w:rPr>
          <w:rFonts w:ascii="Arial" w:cs="Arial" w:eastAsia="Arial" w:hAnsi="Arial"/>
          <w:rtl w:val="0"/>
        </w:rPr>
        <w:t xml:space="preserve"> aos embargos, intimar a parte interessada.</w:t>
      </w:r>
    </w:p>
    <w:p w:rsidR="00000000" w:rsidDel="00000000" w:rsidP="00000000" w:rsidRDefault="00000000" w:rsidRPr="00000000" w14:paraId="00000034">
      <w:pPr>
        <w:tabs>
          <w:tab w:val="left" w:leader="none" w:pos="2983"/>
        </w:tabs>
        <w:spacing w:after="57" w:before="57" w:line="360" w:lineRule="auto"/>
        <w:ind w:left="0" w:right="0"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Tocantinópolis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TO, </w:t>
      </w:r>
      <w:r w:rsidDel="00000000" w:rsidR="00000000" w:rsidRPr="00000000">
        <w:rPr>
          <w:rFonts w:ascii="Arial" w:cs="Arial" w:eastAsia="Arial" w:hAnsi="Arial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57" w:before="57" w:line="360" w:lineRule="auto"/>
        <w:ind w:left="0" w:right="0" w:firstLine="170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7" w:before="57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Célem Guimarães Guerra Júnior</w:t>
      </w:r>
    </w:p>
    <w:p w:rsidR="00000000" w:rsidDel="00000000" w:rsidP="00000000" w:rsidRDefault="00000000" w:rsidRPr="00000000" w14:paraId="00000038">
      <w:pPr>
        <w:tabs>
          <w:tab w:val="left" w:leader="none" w:pos="1866"/>
          <w:tab w:val="left" w:leader="none" w:pos="2972"/>
        </w:tabs>
        <w:spacing w:after="57" w:before="57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Promotor </w:t>
      </w:r>
      <w:r w:rsidDel="00000000" w:rsidR="00000000" w:rsidRPr="00000000">
        <w:rPr>
          <w:rFonts w:ascii="Arial" w:cs="Arial" w:eastAsia="Arial" w:hAnsi="Arial"/>
          <w:rtl w:val="0"/>
        </w:rPr>
        <w:t xml:space="preserve">Eleitoral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315" w:top="3169" w:left="1701" w:right="170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128270" cy="16573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6628" y="3701895"/>
                        <a:ext cx="118745" cy="156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9525" lIns="9525" spcFirstLastPara="1" rIns="9525" wrap="square" tIns="95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128270" cy="16573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270" cy="165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20825" cy="65849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645" l="-1414" r="-1414" t="-1645"/>
                  <a:stretch>
                    <a:fillRect/>
                  </a:stretch>
                </pic:blipFill>
                <pic:spPr>
                  <a:xfrm>
                    <a:off x="0" y="0"/>
                    <a:ext cx="1520825" cy="658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2ª PROMOTORIA DE JUSTIÇA DE TOCANTINÓPOLIS – TO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