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51" w:leader="none"/>
        </w:tabs>
        <w:spacing w:before="240" w:after="0"/>
        <w:jc w:val="center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ab/>
      </w:r>
    </w:p>
    <w:p>
      <w:pPr>
        <w:pStyle w:val="Normal"/>
        <w:tabs>
          <w:tab w:val="left" w:pos="851" w:leader="none"/>
        </w:tabs>
        <w:spacing w:before="24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t-BR"/>
        </w:rPr>
        <w:t xml:space="preserve">MONITORAMENTO  DA ESTRUTURAÇÃO DO </w:t>
      </w:r>
      <w:r>
        <w:rPr>
          <w:rFonts w:cs="Arial" w:ascii="Arial" w:hAnsi="Arial"/>
          <w:b/>
          <w:sz w:val="24"/>
          <w:szCs w:val="24"/>
        </w:rPr>
        <w:t>ATENDIMENTO ÀS PESSOAS EM SITUAÇÃO DE VIOLÊNCIA NO ESTADO DO TOCANTINS</w:t>
      </w:r>
    </w:p>
    <w:p>
      <w:pPr>
        <w:pStyle w:val="Normal"/>
        <w:tabs>
          <w:tab w:val="left" w:pos="851" w:leader="none"/>
        </w:tabs>
        <w:spacing w:before="24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Versão Preliminar</w:t>
      </w:r>
    </w:p>
    <w:p>
      <w:pPr>
        <w:pStyle w:val="Normal"/>
        <w:tabs>
          <w:tab w:val="left" w:pos="851" w:leader="none"/>
        </w:tabs>
        <w:spacing w:before="24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(Com base na Lei 13.431/2017, Portaria Intersecretarial nº 06/2016 e Plano de Ação)</w:t>
      </w:r>
    </w:p>
    <w:tbl>
      <w:tblPr>
        <w:tblW w:w="14812" w:type="dxa"/>
        <w:jc w:val="left"/>
        <w:tblInd w:w="-12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8"/>
        <w:gridCol w:w="1259"/>
        <w:gridCol w:w="1556"/>
        <w:gridCol w:w="4500"/>
        <w:gridCol w:w="1427"/>
        <w:gridCol w:w="1421"/>
      </w:tblGrid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AÇÃO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RESPONSÁVEL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PRAZOS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STATUS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Reunião com diretores dos Hospitais de Referência do estado do Tocantins e </w:t>
            </w:r>
            <w:r>
              <w:rPr>
                <w:rFonts w:eastAsia="Calibri" w:ascii="Arial" w:hAnsi="Arial"/>
                <w:sz w:val="20"/>
                <w:szCs w:val="20"/>
              </w:rPr>
              <w:t>Centro de Apoio Operacional às Promotorias da Infância e Juventude/MPE.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10/08/2016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Anexo I SES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Superintendência de Promoção e Proteção à Saúde (SVPPS)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Realizado</w:t>
            </w:r>
          </w:p>
        </w:tc>
      </w:tr>
      <w:tr>
        <w:trPr>
          <w:trHeight w:val="1876" w:hRule="atLeast"/>
        </w:trPr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Emissão do Memorando Circular Nº 044/2016 para os 18 Hospitais de Referência do Estado solicitando a indicação dos profissionais médicos para o curso de coleta de material biológico na atenção às pessoas em situação de violência sexual.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22/08/2016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Anexo I SES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Superintendência de Promoção e Proteção à Saúde (SVPPS)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Realizado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Publicação da Portaria Intersecretarial Nº 06 de 22 de Novembro de 2016</w:t>
            </w:r>
          </w:p>
          <w:p>
            <w:pPr>
              <w:pStyle w:val="Normal"/>
              <w:spacing w:before="24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24/11/2016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Diário Oficial do Estado do Tocantins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240" w:after="0"/>
              <w:ind w:left="174" w:hanging="174"/>
              <w:contextualSpacing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Secretaria de Estado da Saúde do Tocantins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240" w:after="0"/>
              <w:ind w:left="174" w:hanging="174"/>
              <w:contextualSpacing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Secretaria de Segurança Pública do Tocantins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Realizado</w:t>
            </w:r>
          </w:p>
        </w:tc>
      </w:tr>
      <w:tr>
        <w:trPr>
          <w:trHeight w:val="1128" w:hRule="atLeast"/>
        </w:trPr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360"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360"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360"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ListParagraph"/>
              <w:spacing w:lineRule="auto" w:line="360" w:before="240" w:after="0"/>
              <w:ind w:left="720" w:hanging="0"/>
              <w:contextualSpacing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360"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PRAZOS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360"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STATUS</w:t>
            </w:r>
          </w:p>
        </w:tc>
      </w:tr>
      <w:tr>
        <w:trPr>
          <w:trHeight w:val="1128" w:hRule="atLeast"/>
        </w:trPr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Reunião com Secretaria de Segurança Pública para ajustes no planejamento do Curso de Cadeia de Custódia</w:t>
            </w:r>
          </w:p>
          <w:p>
            <w:pPr>
              <w:pStyle w:val="Normal"/>
              <w:spacing w:before="24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02/02/2017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Secretaria de Segurança Pública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240" w:after="0"/>
              <w:ind w:left="174" w:hanging="174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Diretoria de Doenças Transmissíveis e Não Transmissíveis (DDTNT)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240" w:after="0"/>
              <w:ind w:left="174" w:hanging="174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Superintendência de Polícia Científica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Realizado</w:t>
            </w:r>
          </w:p>
        </w:tc>
      </w:tr>
      <w:tr>
        <w:trPr>
          <w:trHeight w:val="1128" w:hRule="atLeast"/>
        </w:trPr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1ª Reunião de 2017 para retomada das discussões sobre a cadeia de custódia e definição das competências de cada secretaria de estado</w:t>
            </w:r>
          </w:p>
          <w:p>
            <w:pPr>
              <w:pStyle w:val="Normal"/>
              <w:spacing w:before="24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 e 15/02/2017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Anexo I SES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240" w:after="0"/>
              <w:ind w:left="174" w:hanging="174"/>
              <w:contextualSpacing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Superintendência de Promoção e Proteção à Saúde (SVPPS)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240" w:after="0"/>
              <w:ind w:left="174" w:hanging="174"/>
              <w:contextualSpacing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Superintendência de Polícia Científica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Realizado</w:t>
            </w:r>
          </w:p>
        </w:tc>
      </w:tr>
      <w:tr>
        <w:trPr>
          <w:trHeight w:val="954" w:hRule="atLeast"/>
        </w:trPr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Pré Reunião para Curso de Cadeia de Custódia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06/03/2017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Secretaria de Segurança Pública do Estado do TO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before="240" w:after="0"/>
              <w:ind w:left="174" w:hanging="174"/>
              <w:contextualSpacing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Diretoria de Doenças Transmissíveis e Não Transmissíveis (DDTNT)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240" w:after="0"/>
              <w:ind w:left="174" w:hanging="142"/>
              <w:contextualSpacing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Superintendência de Polícia Científica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Realizado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Apresentação da Minuta do Plano de Ação e discussão da ementa da capacitação dos médicos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08/03/2017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Anexo I SES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Diretoria de Doenças Transmissíveis e Não Transmissíveis (DDTNT)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Realizado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Reunião Sobre a Ementa do Curso de Cadeia de Custódia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15/03/2017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Anexo I SES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Superintendência de Promoção e Proteção à Saúde (SVPPS)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Realizado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PRAZOS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themeFill="background1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STATUS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Reunião com Diretoria de Atenção Especializada sobre a estrutura física, insumos e equipamentos necessários para o atendimento às pessoas em situação de violência sexual para municípios.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23/03/2017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Anexo VII SES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Diretoria de Doenças Transmissíveis e Não Transmissíveis (DDTNT)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Realizado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Solicitação de Kit para coleta de amostra biológica através do MEMO/SSP/IGF/Nº 065/2017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29/03/2017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Secretaria de Segurança Pública (SSP)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Julho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Realizado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Encerramento do Plano de Ação do Curso de Cadeia de Custódia e definição da Corresponsabilidade das pastas (espaço físico, insumos, equipe multidisciplinar, e carga horária dos médicos que serão capacitados)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Anexo II (Vigilância Sanitária do Estado)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Superintendência de Promoção e Proteção à Saúde (SVPPS), Superintendência de Unidades Próprias (SUP), Superintendência de Atenção de Políticas à Saúde (SAPS)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Junho de 2017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  <w:t>Custear a vinda dos médicos do interior fornecendo, 3,5 diárias X o valor de R$ 235,50 cada diária para 30 Médicos – Totalizando R$ 16.485,00 (recurso previsto no PAS da SVPPS)</w:t>
            </w:r>
          </w:p>
          <w:p>
            <w:pPr>
              <w:pStyle w:val="Normal"/>
              <w:spacing w:lineRule="auto" w:line="240" w:before="240" w:after="0"/>
              <w:contextualSpacing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Secretaria do Estado da Saúde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Secretaria do Estado da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Agosto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Setembro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Não há previsão dos próximos cursos a serem realizados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Capacitação para médicos em coleta de material biológico na atenção às pessoas em situação de violência sexual. Curso de Cadeia de Custódia, para assinatura de laudos como peritos </w:t>
            </w: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  <w:t>AD HOC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Secretaria de Segurança Pública do Estado do TO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Secretaria de Segurança Pública do Estado do TO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Agosto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Setembro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PRAZOS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STATUS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Qualificar aproximadamente 50 médicos dos 18 Hospitais Estaduais em um Curso de Coleta de Vestígios de Vítimas de Violência Sexual, que ocorrerá no 2º semestre de 2017 e serão licenciados via </w:t>
            </w: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AD HOC.</w:t>
            </w:r>
          </w:p>
          <w:p>
            <w:pPr>
              <w:pStyle w:val="Normal"/>
              <w:spacing w:before="240" w:after="200"/>
              <w:jc w:val="both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 de saúde e Secretaria de Segurança Pública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 de Segurança Pública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Capacitação e identificação de enfermeiros, assistentes sociais, psicólogos, técnicos de enfermagem, dentre outros, para compor uma equipe multiprofissional.</w:t>
            </w:r>
          </w:p>
          <w:p>
            <w:pPr>
              <w:pStyle w:val="Normal"/>
              <w:spacing w:before="240" w:after="200"/>
              <w:jc w:val="both"/>
              <w:rPr>
                <w:highlight w:val="magenta"/>
              </w:rPr>
            </w:pPr>
            <w:r>
              <w:rPr>
                <w:highlight w:val="magenta"/>
              </w:rPr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Realizar campanha de divulgação sobre o serviço.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Desenvolvimento do processo de sensibilização e implantação i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n loco</w:t>
            </w:r>
            <w:r>
              <w:rPr>
                <w:rFonts w:ascii="Arial" w:hAnsi="Arial"/>
                <w:sz w:val="20"/>
                <w:szCs w:val="20"/>
              </w:rPr>
              <w:t xml:space="preserve"> atendimentos qualificados, conforme cronograma previamente estabelecido pelas equipes das áreas técnicas da SES/TO, bem como com o SAVIS e o SAVI.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PRAZOS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STATUS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Apresentação deste Plano de Ação ao Conselho Estadual de Saúde- CES e pactuação na Comissão Intergestora Regional- CIR e Comissão Intergestora Bipartite- CIB, a fim de formalizar a institucionalização deste processo.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Estruturar o espaço físico dos 18 hospitais regionais, criando um local para atender especialmente o paciente vítima de violência, conforme portaria do serviço de Atenção às Pessoas em Situação de Violência (SAVI)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 hospitais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Realizar reuniões bimestrais com toda equipe multiprofissional que atende na cadeia de custódia, informando os casos ocorridos, o índice dos casos e o procedimento realizado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/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Criar ou revisar os protocolos existentes de acolhimento e atendimento às pessoas vítimas de violência. Todos os 139 municípios precisam saber qual é porta de entrada do serviço.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Estruturar o fluxograma de atendimento às pessoas em situação de violência do Estado do Tocantins. 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PRAZOS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STATUS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Monitorar os serviços de saúde dos municípios que dispõe de anticoncepção de emergência, antes de encaminhar ao Serviço de  Atenção Especializada às Pessoas em Situação de Violência Sexual.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Verificar se está disponível nos municípios exames/teste rápido de hepatite, sífilis, HIV e BHCG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bookmarkStart w:id="0" w:name="__DdeLink__216845_2076232587"/>
            <w:bookmarkEnd w:id="0"/>
            <w:r>
              <w:rPr>
                <w:rFonts w:ascii="Arial" w:hAnsi="Arial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Promover formações continuadas para preparar a equipe multidisciplinar para escuta especializada dos 18 hospitais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 há informação</w:t>
            </w:r>
          </w:p>
        </w:tc>
      </w:tr>
      <w:tr>
        <w:trPr/>
        <w:tc>
          <w:tcPr>
            <w:tcW w:w="4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Designar espaço físico nos 18 hospitais para realizar escuta especializada</w:t>
            </w:r>
          </w:p>
        </w:tc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Secretaria de Saúde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8" w:type="dxa"/>
            </w:tcMar>
            <w:vAlign w:val="center"/>
          </w:tcPr>
          <w:p>
            <w:pPr>
              <w:pStyle w:val="Normal"/>
              <w:spacing w:before="240" w:after="20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Times New Roman" w:cs="Arial"/>
          <w:b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</w:r>
    </w:p>
    <w:p>
      <w:pPr>
        <w:pStyle w:val="Normal"/>
        <w:spacing w:before="240" w:after="0"/>
        <w:jc w:val="center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2268" w:right="1418" w:header="709" w:top="1878" w:footer="1310" w:bottom="184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</w:r>
  </w:p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6317615</wp:posOffset>
          </wp:positionH>
          <wp:positionV relativeFrom="paragraph">
            <wp:posOffset>-10160</wp:posOffset>
          </wp:positionV>
          <wp:extent cx="1578610" cy="588010"/>
          <wp:effectExtent l="0" t="0" r="0" b="0"/>
          <wp:wrapSquare wrapText="largest"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                                                                    </w:t>
    </w:r>
    <w:r>
      <w:rPr/>
      <w:drawing>
        <wp:inline distT="0" distB="0" distL="0" distR="0">
          <wp:extent cx="1242060" cy="562610"/>
          <wp:effectExtent l="0" t="0" r="0" b="0"/>
          <wp:docPr id="2" name="figuras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s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1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3779e"/>
    <w:pPr>
      <w:keepNext/>
      <w:tabs>
        <w:tab w:val="left" w:pos="720" w:leader="none"/>
      </w:tabs>
      <w:spacing w:lineRule="auto" w:line="240" w:before="240" w:after="60"/>
      <w:ind w:left="720" w:hanging="7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00000A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779e"/>
    <w:pPr>
      <w:keepNext/>
      <w:tabs>
        <w:tab w:val="left" w:pos="1440" w:leader="none"/>
      </w:tabs>
      <w:spacing w:lineRule="auto" w:line="240" w:before="240" w:after="60"/>
      <w:ind w:left="1440" w:hanging="7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00000A"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79e"/>
    <w:pPr>
      <w:keepNext/>
      <w:tabs>
        <w:tab w:val="left" w:pos="2160" w:leader="none"/>
      </w:tabs>
      <w:spacing w:lineRule="auto" w:line="240" w:before="240" w:after="60"/>
      <w:ind w:left="2160" w:hanging="72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00000A"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779e"/>
    <w:pPr>
      <w:keepNext/>
      <w:tabs>
        <w:tab w:val="left" w:pos="2880" w:leader="none"/>
      </w:tabs>
      <w:spacing w:lineRule="auto" w:line="240" w:before="240" w:after="60"/>
      <w:ind w:left="2880" w:hanging="720"/>
      <w:outlineLvl w:val="3"/>
    </w:pPr>
    <w:rPr>
      <w:rFonts w:eastAsia="" w:eastAsiaTheme="minorEastAsia"/>
      <w:b/>
      <w:bCs/>
      <w:color w:val="00000A"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779e"/>
    <w:pPr>
      <w:tabs>
        <w:tab w:val="left" w:pos="3600" w:leader="none"/>
      </w:tabs>
      <w:spacing w:lineRule="auto" w:line="240" w:before="240" w:after="60"/>
      <w:ind w:left="3600" w:hanging="720"/>
      <w:outlineLvl w:val="4"/>
    </w:pPr>
    <w:rPr>
      <w:rFonts w:eastAsia="" w:eastAsiaTheme="minorEastAsia"/>
      <w:b/>
      <w:bCs/>
      <w:i/>
      <w:iCs/>
      <w:color w:val="00000A"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93779e"/>
    <w:pPr>
      <w:tabs>
        <w:tab w:val="left" w:pos="4320" w:leader="none"/>
      </w:tabs>
      <w:spacing w:lineRule="auto" w:line="240" w:before="240" w:after="60"/>
      <w:ind w:left="4320" w:hanging="720"/>
      <w:outlineLvl w:val="5"/>
    </w:pPr>
    <w:rPr>
      <w:rFonts w:ascii="Times New Roman" w:hAnsi="Times New Roman" w:eastAsia="Times New Roman" w:cs="Times New Roman"/>
      <w:b/>
      <w:bCs/>
      <w:color w:val="00000A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779e"/>
    <w:pPr>
      <w:tabs>
        <w:tab w:val="left" w:pos="5040" w:leader="none"/>
      </w:tabs>
      <w:spacing w:lineRule="auto" w:line="240" w:before="240" w:after="60"/>
      <w:ind w:left="5040" w:hanging="720"/>
      <w:outlineLvl w:val="6"/>
    </w:pPr>
    <w:rPr>
      <w:rFonts w:eastAsia="" w:eastAsiaTheme="minorEastAsia"/>
      <w:color w:val="00000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779e"/>
    <w:pPr>
      <w:tabs>
        <w:tab w:val="left" w:pos="5760" w:leader="none"/>
      </w:tabs>
      <w:spacing w:lineRule="auto" w:line="240" w:before="240" w:after="60"/>
      <w:ind w:left="5760" w:hanging="720"/>
      <w:outlineLvl w:val="7"/>
    </w:pPr>
    <w:rPr>
      <w:rFonts w:eastAsia="" w:eastAsiaTheme="minorEastAsia"/>
      <w:i/>
      <w:iCs/>
      <w:color w:val="00000A"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779e"/>
    <w:pPr>
      <w:tabs>
        <w:tab w:val="left" w:pos="6480" w:leader="none"/>
      </w:tabs>
      <w:spacing w:lineRule="auto" w:line="240"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color w:val="00000A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85f65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85f65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85f65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color w:val="FF0000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ascii="Arial" w:hAnsi="Arial"/>
      <w:color w:val="00000A"/>
      <w:sz w:val="24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ascii="Arial" w:hAnsi="Arial"/>
      <w:color w:val="00000A"/>
      <w:sz w:val="24"/>
    </w:rPr>
  </w:style>
  <w:style w:type="character" w:styleId="ListLabel25" w:customStyle="1">
    <w:name w:val="ListLabel 25"/>
    <w:qFormat/>
    <w:rPr>
      <w:rFonts w:ascii="Arial" w:hAnsi="Arial" w:cs="Courier New"/>
      <w:sz w:val="24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ascii="Arial" w:hAnsi="Arial"/>
      <w:color w:val="00000A"/>
      <w:sz w:val="24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ListLabel35" w:customStyle="1">
    <w:name w:val="ListLabel 35"/>
    <w:qFormat/>
    <w:rPr>
      <w:rFonts w:ascii="Arial" w:hAnsi="Arial" w:cs="Symbol"/>
      <w:sz w:val="24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Arial" w:hAnsi="Arial" w:cs="Symbol"/>
      <w:sz w:val="24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Arial" w:hAnsi="Arial" w:cs="Symbol"/>
      <w:sz w:val="24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Arial" w:hAnsi="Arial" w:cs="Symbol"/>
      <w:sz w:val="24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Arial" w:hAnsi="Arial" w:cs="Symbol"/>
      <w:sz w:val="24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Arial" w:hAnsi="Arial" w:cs="Symbol"/>
      <w:color w:val="00000A"/>
      <w:sz w:val="24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Arial" w:hAnsi="Arial" w:cs="Symbol"/>
      <w:b/>
      <w:sz w:val="24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Arial" w:hAnsi="Arial" w:cs="Symbol"/>
      <w:color w:val="00000A"/>
      <w:sz w:val="24"/>
    </w:rPr>
  </w:style>
  <w:style w:type="character" w:styleId="ListLabel99" w:customStyle="1">
    <w:name w:val="ListLabel 99"/>
    <w:qFormat/>
    <w:rPr>
      <w:rFonts w:ascii="Arial" w:hAnsi="Arial" w:cs="Courier New"/>
      <w:sz w:val="24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Arial" w:hAnsi="Arial" w:cs="Symbol"/>
      <w:color w:val="00000A"/>
      <w:sz w:val="24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Arial" w:hAnsi="Arial" w:cs="Symbol"/>
      <w:sz w:val="20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Arial" w:hAnsi="Arial" w:cs="Symbol"/>
      <w:sz w:val="24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ListLabel134" w:customStyle="1">
    <w:name w:val="ListLabel 134"/>
    <w:qFormat/>
    <w:rPr>
      <w:rFonts w:ascii="Arial" w:hAnsi="Arial" w:cs="Symbol"/>
      <w:sz w:val="24"/>
    </w:rPr>
  </w:style>
  <w:style w:type="character" w:styleId="ListLabel135" w:customStyle="1">
    <w:name w:val="ListLabel 135"/>
    <w:qFormat/>
    <w:rPr>
      <w:rFonts w:cs="Courier New"/>
    </w:rPr>
  </w:style>
  <w:style w:type="character" w:styleId="ListLabel136" w:customStyle="1">
    <w:name w:val="ListLabel 136"/>
    <w:qFormat/>
    <w:rPr>
      <w:rFonts w:cs="Wingdings"/>
    </w:rPr>
  </w:style>
  <w:style w:type="character" w:styleId="ListLabel137" w:customStyle="1">
    <w:name w:val="ListLabel 137"/>
    <w:qFormat/>
    <w:rPr>
      <w:rFonts w:cs="Symbol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rFonts w:cs="Courier New"/>
    </w:rPr>
  </w:style>
  <w:style w:type="character" w:styleId="ListLabel142" w:customStyle="1">
    <w:name w:val="ListLabel 142"/>
    <w:qFormat/>
    <w:rPr>
      <w:rFonts w:cs="Wingdings"/>
    </w:rPr>
  </w:style>
  <w:style w:type="character" w:styleId="ListLabel143" w:customStyle="1">
    <w:name w:val="ListLabel 143"/>
    <w:qFormat/>
    <w:rPr>
      <w:rFonts w:ascii="Arial" w:hAnsi="Arial" w:cs="Symbol"/>
      <w:sz w:val="24"/>
    </w:rPr>
  </w:style>
  <w:style w:type="character" w:styleId="ListLabel144" w:customStyle="1">
    <w:name w:val="ListLabel 144"/>
    <w:qFormat/>
    <w:rPr>
      <w:rFonts w:cs="Courier New"/>
    </w:rPr>
  </w:style>
  <w:style w:type="character" w:styleId="ListLabel145" w:customStyle="1">
    <w:name w:val="ListLabel 145"/>
    <w:qFormat/>
    <w:rPr>
      <w:rFonts w:cs="Wingdings"/>
    </w:rPr>
  </w:style>
  <w:style w:type="character" w:styleId="ListLabel146" w:customStyle="1">
    <w:name w:val="ListLabel 146"/>
    <w:qFormat/>
    <w:rPr>
      <w:rFonts w:cs="Symbol"/>
    </w:rPr>
  </w:style>
  <w:style w:type="character" w:styleId="ListLabel147" w:customStyle="1">
    <w:name w:val="ListLabel 147"/>
    <w:qFormat/>
    <w:rPr>
      <w:rFonts w:cs="Courier New"/>
    </w:rPr>
  </w:style>
  <w:style w:type="character" w:styleId="ListLabel148" w:customStyle="1">
    <w:name w:val="ListLabel 148"/>
    <w:qFormat/>
    <w:rPr>
      <w:rFonts w:cs="Wingdings"/>
    </w:rPr>
  </w:style>
  <w:style w:type="character" w:styleId="ListLabel149" w:customStyle="1">
    <w:name w:val="ListLabel 149"/>
    <w:qFormat/>
    <w:rPr>
      <w:rFonts w:cs="Symbol"/>
    </w:rPr>
  </w:style>
  <w:style w:type="character" w:styleId="ListLabel150" w:customStyle="1">
    <w:name w:val="ListLabel 150"/>
    <w:qFormat/>
    <w:rPr>
      <w:rFonts w:cs="Courier New"/>
    </w:rPr>
  </w:style>
  <w:style w:type="character" w:styleId="ListLabel151" w:customStyle="1">
    <w:name w:val="ListLabel 151"/>
    <w:qFormat/>
    <w:rPr>
      <w:rFonts w:cs="Wingdings"/>
    </w:rPr>
  </w:style>
  <w:style w:type="character" w:styleId="ListLabel152" w:customStyle="1">
    <w:name w:val="ListLabel 152"/>
    <w:qFormat/>
    <w:rPr>
      <w:rFonts w:ascii="Arial" w:hAnsi="Arial" w:cs="Symbol"/>
      <w:sz w:val="24"/>
    </w:rPr>
  </w:style>
  <w:style w:type="character" w:styleId="ListLabel153" w:customStyle="1">
    <w:name w:val="ListLabel 153"/>
    <w:qFormat/>
    <w:rPr>
      <w:rFonts w:cs="Courier New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cs="Symbol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cs="Symbol"/>
    </w:rPr>
  </w:style>
  <w:style w:type="character" w:styleId="ListLabel159" w:customStyle="1">
    <w:name w:val="ListLabel 159"/>
    <w:qFormat/>
    <w:rPr>
      <w:rFonts w:cs="Courier New"/>
    </w:rPr>
  </w:style>
  <w:style w:type="character" w:styleId="ListLabel160" w:customStyle="1">
    <w:name w:val="ListLabel 160"/>
    <w:qFormat/>
    <w:rPr>
      <w:rFonts w:cs="Wingdings"/>
    </w:rPr>
  </w:style>
  <w:style w:type="character" w:styleId="ListLabel161" w:customStyle="1">
    <w:name w:val="ListLabel 161"/>
    <w:qFormat/>
    <w:rPr>
      <w:rFonts w:ascii="Arial" w:hAnsi="Arial" w:cs="Symbol"/>
      <w:sz w:val="24"/>
    </w:rPr>
  </w:style>
  <w:style w:type="character" w:styleId="ListLabel162" w:customStyle="1">
    <w:name w:val="ListLabel 162"/>
    <w:qFormat/>
    <w:rPr>
      <w:rFonts w:cs="Courier New"/>
    </w:rPr>
  </w:style>
  <w:style w:type="character" w:styleId="ListLabel163" w:customStyle="1">
    <w:name w:val="ListLabel 163"/>
    <w:qFormat/>
    <w:rPr>
      <w:rFonts w:cs="Wingdings"/>
    </w:rPr>
  </w:style>
  <w:style w:type="character" w:styleId="ListLabel164" w:customStyle="1">
    <w:name w:val="ListLabel 164"/>
    <w:qFormat/>
    <w:rPr>
      <w:rFonts w:cs="Symbol"/>
    </w:rPr>
  </w:style>
  <w:style w:type="character" w:styleId="ListLabel165" w:customStyle="1">
    <w:name w:val="ListLabel 165"/>
    <w:qFormat/>
    <w:rPr>
      <w:rFonts w:cs="Courier New"/>
    </w:rPr>
  </w:style>
  <w:style w:type="character" w:styleId="ListLabel166" w:customStyle="1">
    <w:name w:val="ListLabel 166"/>
    <w:qFormat/>
    <w:rPr>
      <w:rFonts w:cs="Wingdings"/>
    </w:rPr>
  </w:style>
  <w:style w:type="character" w:styleId="ListLabel167" w:customStyle="1">
    <w:name w:val="ListLabel 167"/>
    <w:qFormat/>
    <w:rPr>
      <w:rFonts w:cs="Symbol"/>
    </w:rPr>
  </w:style>
  <w:style w:type="character" w:styleId="ListLabel168" w:customStyle="1">
    <w:name w:val="ListLabel 168"/>
    <w:qFormat/>
    <w:rPr>
      <w:rFonts w:cs="Courier New"/>
    </w:rPr>
  </w:style>
  <w:style w:type="character" w:styleId="ListLabel169" w:customStyle="1">
    <w:name w:val="ListLabel 169"/>
    <w:qFormat/>
    <w:rPr>
      <w:rFonts w:cs="Wingdings"/>
    </w:rPr>
  </w:style>
  <w:style w:type="character" w:styleId="ListLabel170" w:customStyle="1">
    <w:name w:val="ListLabel 170"/>
    <w:qFormat/>
    <w:rPr>
      <w:rFonts w:ascii="Arial" w:hAnsi="Arial" w:cs="Symbol"/>
      <w:color w:val="00000A"/>
      <w:sz w:val="24"/>
    </w:rPr>
  </w:style>
  <w:style w:type="character" w:styleId="ListLabel171" w:customStyle="1">
    <w:name w:val="ListLabel 171"/>
    <w:qFormat/>
    <w:rPr>
      <w:rFonts w:cs="Courier New"/>
    </w:rPr>
  </w:style>
  <w:style w:type="character" w:styleId="ListLabel172" w:customStyle="1">
    <w:name w:val="ListLabel 172"/>
    <w:qFormat/>
    <w:rPr>
      <w:rFonts w:cs="Wingdings"/>
    </w:rPr>
  </w:style>
  <w:style w:type="character" w:styleId="ListLabel173" w:customStyle="1">
    <w:name w:val="ListLabel 173"/>
    <w:qFormat/>
    <w:rPr>
      <w:rFonts w:cs="Symbol"/>
    </w:rPr>
  </w:style>
  <w:style w:type="character" w:styleId="ListLabel174" w:customStyle="1">
    <w:name w:val="ListLabel 174"/>
    <w:qFormat/>
    <w:rPr>
      <w:rFonts w:cs="Courier New"/>
    </w:rPr>
  </w:style>
  <w:style w:type="character" w:styleId="ListLabel175" w:customStyle="1">
    <w:name w:val="ListLabel 175"/>
    <w:qFormat/>
    <w:rPr>
      <w:rFonts w:cs="Wingdings"/>
    </w:rPr>
  </w:style>
  <w:style w:type="character" w:styleId="ListLabel176" w:customStyle="1">
    <w:name w:val="ListLabel 176"/>
    <w:qFormat/>
    <w:rPr>
      <w:rFonts w:cs="Symbol"/>
    </w:rPr>
  </w:style>
  <w:style w:type="character" w:styleId="ListLabel177" w:customStyle="1">
    <w:name w:val="ListLabel 177"/>
    <w:qFormat/>
    <w:rPr>
      <w:rFonts w:cs="Courier New"/>
    </w:rPr>
  </w:style>
  <w:style w:type="character" w:styleId="ListLabel178" w:customStyle="1">
    <w:name w:val="ListLabel 178"/>
    <w:qFormat/>
    <w:rPr>
      <w:rFonts w:cs="Wingdings"/>
    </w:rPr>
  </w:style>
  <w:style w:type="character" w:styleId="ListLabel179" w:customStyle="1">
    <w:name w:val="ListLabel 179"/>
    <w:qFormat/>
    <w:rPr>
      <w:rFonts w:ascii="Arial" w:hAnsi="Arial" w:cs="Symbol"/>
      <w:b/>
      <w:sz w:val="24"/>
    </w:rPr>
  </w:style>
  <w:style w:type="character" w:styleId="ListLabel180" w:customStyle="1">
    <w:name w:val="ListLabel 180"/>
    <w:qFormat/>
    <w:rPr>
      <w:rFonts w:cs="Courier New"/>
    </w:rPr>
  </w:style>
  <w:style w:type="character" w:styleId="ListLabel181" w:customStyle="1">
    <w:name w:val="ListLabel 181"/>
    <w:qFormat/>
    <w:rPr>
      <w:rFonts w:cs="Wingdings"/>
    </w:rPr>
  </w:style>
  <w:style w:type="character" w:styleId="ListLabel182" w:customStyle="1">
    <w:name w:val="ListLabel 182"/>
    <w:qFormat/>
    <w:rPr>
      <w:rFonts w:cs="Symbol"/>
    </w:rPr>
  </w:style>
  <w:style w:type="character" w:styleId="ListLabel183" w:customStyle="1">
    <w:name w:val="ListLabel 183"/>
    <w:qFormat/>
    <w:rPr>
      <w:rFonts w:cs="Courier New"/>
    </w:rPr>
  </w:style>
  <w:style w:type="character" w:styleId="ListLabel184" w:customStyle="1">
    <w:name w:val="ListLabel 184"/>
    <w:qFormat/>
    <w:rPr>
      <w:rFonts w:cs="Wingdings"/>
    </w:rPr>
  </w:style>
  <w:style w:type="character" w:styleId="ListLabel185" w:customStyle="1">
    <w:name w:val="ListLabel 185"/>
    <w:qFormat/>
    <w:rPr>
      <w:rFonts w:cs="Symbol"/>
    </w:rPr>
  </w:style>
  <w:style w:type="character" w:styleId="ListLabel186" w:customStyle="1">
    <w:name w:val="ListLabel 186"/>
    <w:qFormat/>
    <w:rPr>
      <w:rFonts w:cs="Courier New"/>
    </w:rPr>
  </w:style>
  <w:style w:type="character" w:styleId="ListLabel187" w:customStyle="1">
    <w:name w:val="ListLabel 187"/>
    <w:qFormat/>
    <w:rPr>
      <w:rFonts w:cs="Wingdings"/>
    </w:rPr>
  </w:style>
  <w:style w:type="character" w:styleId="ListLabel188" w:customStyle="1">
    <w:name w:val="ListLabel 188"/>
    <w:qFormat/>
    <w:rPr>
      <w:rFonts w:ascii="Arial" w:hAnsi="Arial" w:cs="Symbol"/>
      <w:color w:val="00000A"/>
      <w:sz w:val="24"/>
    </w:rPr>
  </w:style>
  <w:style w:type="character" w:styleId="ListLabel189" w:customStyle="1">
    <w:name w:val="ListLabel 189"/>
    <w:qFormat/>
    <w:rPr>
      <w:rFonts w:ascii="Arial" w:hAnsi="Arial" w:cs="Courier New"/>
      <w:sz w:val="24"/>
    </w:rPr>
  </w:style>
  <w:style w:type="character" w:styleId="ListLabel190" w:customStyle="1">
    <w:name w:val="ListLabel 190"/>
    <w:qFormat/>
    <w:rPr>
      <w:rFonts w:cs="Wingdings"/>
    </w:rPr>
  </w:style>
  <w:style w:type="character" w:styleId="ListLabel191" w:customStyle="1">
    <w:name w:val="ListLabel 191"/>
    <w:qFormat/>
    <w:rPr>
      <w:rFonts w:cs="Symbol"/>
    </w:rPr>
  </w:style>
  <w:style w:type="character" w:styleId="ListLabel192" w:customStyle="1">
    <w:name w:val="ListLabel 192"/>
    <w:qFormat/>
    <w:rPr>
      <w:rFonts w:cs="Courier New"/>
    </w:rPr>
  </w:style>
  <w:style w:type="character" w:styleId="ListLabel193" w:customStyle="1">
    <w:name w:val="ListLabel 193"/>
    <w:qFormat/>
    <w:rPr>
      <w:rFonts w:cs="Wingdings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Courier New"/>
    </w:rPr>
  </w:style>
  <w:style w:type="character" w:styleId="ListLabel196" w:customStyle="1">
    <w:name w:val="ListLabel 196"/>
    <w:qFormat/>
    <w:rPr>
      <w:rFonts w:cs="Wingdings"/>
    </w:rPr>
  </w:style>
  <w:style w:type="character" w:styleId="ListLabel197" w:customStyle="1">
    <w:name w:val="ListLabel 197"/>
    <w:qFormat/>
    <w:rPr>
      <w:rFonts w:ascii="Arial" w:hAnsi="Arial" w:cs="Symbol"/>
      <w:color w:val="00000A"/>
      <w:sz w:val="24"/>
    </w:rPr>
  </w:style>
  <w:style w:type="character" w:styleId="ListLabel198" w:customStyle="1">
    <w:name w:val="ListLabel 198"/>
    <w:qFormat/>
    <w:rPr>
      <w:rFonts w:cs="Courier New"/>
    </w:rPr>
  </w:style>
  <w:style w:type="character" w:styleId="ListLabel199" w:customStyle="1">
    <w:name w:val="ListLabel 199"/>
    <w:qFormat/>
    <w:rPr>
      <w:rFonts w:cs="Wingdings"/>
    </w:rPr>
  </w:style>
  <w:style w:type="character" w:styleId="ListLabel200" w:customStyle="1">
    <w:name w:val="ListLabel 200"/>
    <w:qFormat/>
    <w:rPr>
      <w:rFonts w:cs="Symbol"/>
    </w:rPr>
  </w:style>
  <w:style w:type="character" w:styleId="ListLabel201" w:customStyle="1">
    <w:name w:val="ListLabel 201"/>
    <w:qFormat/>
    <w:rPr>
      <w:rFonts w:cs="Courier New"/>
    </w:rPr>
  </w:style>
  <w:style w:type="character" w:styleId="ListLabel202" w:customStyle="1">
    <w:name w:val="ListLabel 202"/>
    <w:qFormat/>
    <w:rPr>
      <w:rFonts w:cs="Wingdings"/>
    </w:rPr>
  </w:style>
  <w:style w:type="character" w:styleId="ListLabel203" w:customStyle="1">
    <w:name w:val="ListLabel 203"/>
    <w:qFormat/>
    <w:rPr>
      <w:rFonts w:cs="Symbol"/>
    </w:rPr>
  </w:style>
  <w:style w:type="character" w:styleId="ListLabel204" w:customStyle="1">
    <w:name w:val="ListLabel 204"/>
    <w:qFormat/>
    <w:rPr>
      <w:rFonts w:cs="Courier New"/>
    </w:rPr>
  </w:style>
  <w:style w:type="character" w:styleId="ListLabel205" w:customStyle="1">
    <w:name w:val="ListLabel 205"/>
    <w:qFormat/>
    <w:rPr>
      <w:rFonts w:cs="Wingdings"/>
    </w:rPr>
  </w:style>
  <w:style w:type="character" w:styleId="ListLabel206" w:customStyle="1">
    <w:name w:val="ListLabel 206"/>
    <w:qFormat/>
    <w:rPr>
      <w:rFonts w:ascii="Arial" w:hAnsi="Arial" w:cs="Symbol"/>
      <w:sz w:val="20"/>
    </w:rPr>
  </w:style>
  <w:style w:type="character" w:styleId="ListLabel207" w:customStyle="1">
    <w:name w:val="ListLabel 207"/>
    <w:qFormat/>
    <w:rPr>
      <w:rFonts w:cs="Courier New"/>
    </w:rPr>
  </w:style>
  <w:style w:type="character" w:styleId="ListLabel208" w:customStyle="1">
    <w:name w:val="ListLabel 208"/>
    <w:qFormat/>
    <w:rPr>
      <w:rFonts w:cs="Wingdings"/>
    </w:rPr>
  </w:style>
  <w:style w:type="character" w:styleId="ListLabel209" w:customStyle="1">
    <w:name w:val="ListLabel 209"/>
    <w:qFormat/>
    <w:rPr>
      <w:rFonts w:cs="Symbol"/>
    </w:rPr>
  </w:style>
  <w:style w:type="character" w:styleId="ListLabel210" w:customStyle="1">
    <w:name w:val="ListLabel 210"/>
    <w:qFormat/>
    <w:rPr>
      <w:rFonts w:cs="Courier New"/>
    </w:rPr>
  </w:style>
  <w:style w:type="character" w:styleId="ListLabel211" w:customStyle="1">
    <w:name w:val="ListLabel 211"/>
    <w:qFormat/>
    <w:rPr>
      <w:rFonts w:cs="Wingdings"/>
    </w:rPr>
  </w:style>
  <w:style w:type="character" w:styleId="ListLabel212" w:customStyle="1">
    <w:name w:val="ListLabel 212"/>
    <w:qFormat/>
    <w:rPr>
      <w:rFonts w:cs="Symbol"/>
    </w:rPr>
  </w:style>
  <w:style w:type="character" w:styleId="ListLabel213" w:customStyle="1">
    <w:name w:val="ListLabel 213"/>
    <w:qFormat/>
    <w:rPr>
      <w:rFonts w:cs="Courier New"/>
    </w:rPr>
  </w:style>
  <w:style w:type="character" w:styleId="ListLabel214" w:customStyle="1">
    <w:name w:val="ListLabel 214"/>
    <w:qFormat/>
    <w:rPr>
      <w:rFonts w:cs="Wingdings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color w:val="00000A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93779e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val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93779e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val="en-US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93779e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val="en-US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93779e"/>
    <w:rPr>
      <w:rFonts w:eastAsia="" w:eastAsiaTheme="minorEastAsia"/>
      <w:b/>
      <w:bCs/>
      <w:sz w:val="28"/>
      <w:szCs w:val="28"/>
      <w:lang w:val="en-US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93779e"/>
    <w:rPr>
      <w:rFonts w:eastAsia="" w:eastAsiaTheme="minorEastAsia"/>
      <w:b/>
      <w:bCs/>
      <w:i/>
      <w:iCs/>
      <w:sz w:val="26"/>
      <w:szCs w:val="26"/>
      <w:lang w:val="en-US"/>
    </w:rPr>
  </w:style>
  <w:style w:type="character" w:styleId="Ttulo6Char" w:customStyle="1">
    <w:name w:val="Título 6 Char"/>
    <w:basedOn w:val="DefaultParagraphFont"/>
    <w:link w:val="Ttulo6"/>
    <w:qFormat/>
    <w:rsid w:val="0093779e"/>
    <w:rPr>
      <w:rFonts w:ascii="Times New Roman" w:hAnsi="Times New Roman" w:eastAsia="Times New Roman" w:cs="Times New Roman"/>
      <w:b/>
      <w:bCs/>
      <w:sz w:val="22"/>
      <w:lang w:val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93779e"/>
    <w:rPr>
      <w:rFonts w:eastAsia="" w:eastAsiaTheme="minorEastAsia"/>
      <w:sz w:val="24"/>
      <w:szCs w:val="24"/>
      <w:lang w:val="en-US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93779e"/>
    <w:rPr>
      <w:rFonts w:eastAsia="" w:eastAsiaTheme="minorEastAsia"/>
      <w:i/>
      <w:iCs/>
      <w:sz w:val="24"/>
      <w:szCs w:val="24"/>
      <w:lang w:val="en-US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93779e"/>
    <w:rPr>
      <w:rFonts w:ascii="Cambria" w:hAnsi="Cambria" w:eastAsia="" w:cs="" w:asciiTheme="majorHAnsi" w:cstheme="majorBidi" w:eastAsiaTheme="majorEastAsia" w:hAnsiTheme="majorHAnsi"/>
      <w:sz w:val="22"/>
      <w:lang w:val="en-US"/>
    </w:rPr>
  </w:style>
  <w:style w:type="character" w:styleId="ListLabel215">
    <w:name w:val="ListLabel 215"/>
    <w:qFormat/>
    <w:rPr>
      <w:rFonts w:ascii="Arial" w:hAnsi="Arial" w:cs="Symbol"/>
      <w:sz w:val="24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ascii="Arial" w:hAnsi="Arial" w:cs="Symbol"/>
      <w:sz w:val="24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Arial" w:hAnsi="Arial" w:cs="Symbol"/>
      <w:sz w:val="24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Arial" w:hAnsi="Arial" w:cs="Symbol"/>
      <w:sz w:val="24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ascii="Arial" w:hAnsi="Arial" w:cs="Symbol"/>
      <w:sz w:val="24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Arial" w:hAnsi="Arial" w:cs="Symbol"/>
      <w:color w:val="00000A"/>
      <w:sz w:val="24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Arial" w:hAnsi="Arial" w:cs="Symbol"/>
      <w:b/>
      <w:sz w:val="24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Symbol"/>
      <w:color w:val="00000A"/>
      <w:sz w:val="24"/>
    </w:rPr>
  </w:style>
  <w:style w:type="character" w:styleId="ListLabel279">
    <w:name w:val="ListLabel 279"/>
    <w:qFormat/>
    <w:rPr>
      <w:rFonts w:ascii="Arial" w:hAnsi="Arial" w:cs="Courier New"/>
      <w:sz w:val="24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Arial" w:hAnsi="Arial" w:cs="Symbol"/>
      <w:color w:val="00000A"/>
      <w:sz w:val="24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Arial" w:hAnsi="Arial" w:cs="Symbol"/>
      <w:sz w:val="20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Courier New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ascii="Arial" w:hAnsi="Arial"/>
      <w:b/>
      <w:color w:val="00000A"/>
      <w:sz w:val="24"/>
    </w:rPr>
  </w:style>
  <w:style w:type="character" w:styleId="ListLabel312">
    <w:name w:val="ListLabel 312"/>
    <w:qFormat/>
    <w:rPr>
      <w:rFonts w:eastAsia="Calibri" w:cs=""/>
      <w:sz w:val="22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ascii="Arial" w:hAnsi="Arial" w:cs="Symbol"/>
      <w:sz w:val="20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Symbol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ascii="Arial" w:hAnsi="Arial" w:cs="Symbol"/>
      <w:sz w:val="20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cs="Symbol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ascii="Arial" w:hAnsi="Arial" w:cs="Symbol"/>
      <w:sz w:val="20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cs="Symbol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ascii="Arial" w:hAnsi="Arial" w:cs="Symbol"/>
      <w:sz w:val="20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Symbol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ascii="Arial" w:hAnsi="Arial" w:cs="Symbol"/>
      <w:sz w:val="20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Wingdings"/>
    </w:rPr>
  </w:style>
  <w:style w:type="character" w:styleId="ListLabel368">
    <w:name w:val="ListLabel 368"/>
    <w:qFormat/>
    <w:rPr>
      <w:rFonts w:cs="Symbol"/>
    </w:rPr>
  </w:style>
  <w:style w:type="character" w:styleId="ListLabel369">
    <w:name w:val="ListLabel 369"/>
    <w:qFormat/>
    <w:rPr>
      <w:rFonts w:cs="Courier New"/>
    </w:rPr>
  </w:style>
  <w:style w:type="character" w:styleId="ListLabel370">
    <w:name w:val="ListLabel 370"/>
    <w:qFormat/>
    <w:rPr>
      <w:rFonts w:cs="Wingdings"/>
    </w:rPr>
  </w:style>
  <w:style w:type="character" w:styleId="ListLabel371">
    <w:name w:val="ListLabel 371"/>
    <w:qFormat/>
    <w:rPr>
      <w:rFonts w:ascii="Arial" w:hAnsi="Arial" w:cs="Symbol"/>
      <w:sz w:val="20"/>
    </w:rPr>
  </w:style>
  <w:style w:type="character" w:styleId="ListLabel372">
    <w:name w:val="ListLabel 372"/>
    <w:qFormat/>
    <w:rPr>
      <w:rFonts w:cs="Courier New"/>
    </w:rPr>
  </w:style>
  <w:style w:type="character" w:styleId="ListLabel373">
    <w:name w:val="ListLabel 373"/>
    <w:qFormat/>
    <w:rPr>
      <w:rFonts w:cs="Wingdings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Courier New"/>
    </w:rPr>
  </w:style>
  <w:style w:type="character" w:styleId="ListLabel376">
    <w:name w:val="ListLabel 376"/>
    <w:qFormat/>
    <w:rPr>
      <w:rFonts w:cs="Wingdings"/>
    </w:rPr>
  </w:style>
  <w:style w:type="character" w:styleId="ListLabel377">
    <w:name w:val="ListLabel 377"/>
    <w:qFormat/>
    <w:rPr>
      <w:rFonts w:cs="Symbol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ascii="Arial" w:hAnsi="Arial" w:cs="Symbol"/>
      <w:sz w:val="20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Wingdings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Wingdings"/>
    </w:rPr>
  </w:style>
  <w:style w:type="character" w:styleId="ListLabel386">
    <w:name w:val="ListLabel 386"/>
    <w:qFormat/>
    <w:rPr>
      <w:rFonts w:cs="Symbol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Wingdings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ListLabel389">
    <w:name w:val="ListLabel 389"/>
    <w:qFormat/>
    <w:rPr>
      <w:rFonts w:ascii="Arial" w:hAnsi="Arial" w:cs="Symbol"/>
      <w:sz w:val="20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Wingdings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cs="Symbol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ascii="Arial" w:hAnsi="Arial" w:cs="Symbol"/>
      <w:sz w:val="20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cs="Symbol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ascii="Arial" w:hAnsi="Arial" w:cs="Symbol"/>
      <w:sz w:val="20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Symbol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ascii="Arial" w:hAnsi="Arial" w:cs="Symbol"/>
      <w:sz w:val="20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cs="Symbol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ascii="Arial" w:hAnsi="Arial" w:cs="Symbol"/>
      <w:sz w:val="20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cs="Symbol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85f65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5f65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5f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f65"/>
    <w:pPr>
      <w:spacing w:before="0" w:after="20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85f65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LibreOffice/5.1.6.2$Linux_X86_64 LibreOffice_project/10m0$Build-2</Application>
  <Pages>12</Pages>
  <Words>954</Words>
  <CharactersWithSpaces>5437</CharactersWithSpaces>
  <Paragraphs>163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2018-04-27T17:44:00Z</dcterms:created>
  <dc:creator>Fabiano Alves Santos Santana</dc:creator>
  <dc:description/>
  <dc:language>pt-BR</dc:language>
  <cp:lastModifiedBy/>
  <cp:lastPrinted>2017-06-20T13:48:00Z</cp:lastPrinted>
  <dcterms:modified xsi:type="dcterms:W3CDTF">2018-06-12T10:09:36Z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